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784D" w14:textId="77777777" w:rsidR="00F740BB" w:rsidRDefault="00F740BB" w:rsidP="00F740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F740BB">
        <w:rPr>
          <w:rFonts w:ascii="Times New Roman" w:eastAsia="Times New Roman" w:hAnsi="Times New Roman" w:cs="Times New Roman"/>
          <w:color w:val="000000"/>
          <w:sz w:val="36"/>
          <w:szCs w:val="36"/>
        </w:rPr>
        <w:t>Criteria to Guide Evaluation of PUI for COVID-19</w:t>
      </w:r>
    </w:p>
    <w:p w14:paraId="05871DFC" w14:textId="77777777" w:rsidR="00F740BB" w:rsidRPr="00F740BB" w:rsidRDefault="00F740BB" w:rsidP="00F740BB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Revisions were made on March 4, 2020, to reflect the following:</w:t>
      </w:r>
    </w:p>
    <w:p w14:paraId="2B95F157" w14:textId="77777777" w:rsidR="00F740BB" w:rsidRPr="00F740BB" w:rsidRDefault="00F740BB" w:rsidP="00F7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Criteria for evaluation of Persons Under Investigation (PUI) were expanded to a wider group of symptomatic patients</w:t>
      </w:r>
    </w:p>
    <w:p w14:paraId="32585133" w14:textId="77777777" w:rsidR="00F740BB" w:rsidRPr="00F740BB" w:rsidRDefault="00F740BB" w:rsidP="00F74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As availability of diagnostic testing for COVID-19 increases, clinicians will be able to access laboratory tests for diagnosing COVID-19 through clinical laboratories performing tests authorized by FDA under an Emergency Use Authorization (EUA). Clinicians will also be able to access laboratory testing through public health laboratories in their jurisdictions.</w:t>
      </w:r>
    </w:p>
    <w:p w14:paraId="012FED05" w14:textId="77777777" w:rsidR="00F740BB" w:rsidRPr="00F740BB" w:rsidRDefault="00F740BB" w:rsidP="00F74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This expands testing to a wider group of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symptomatic patients</w:t>
      </w: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. Clinicians should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use their judgment</w:t>
      </w: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 to determine if a patient has signs and symptoms compatible with COVID-19 and whether the patient should be tested. Decisions on which patients receive testing should be based on the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local epidemiology</w:t>
      </w: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 of COVID-19, as well as the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clinical course of illness</w:t>
      </w: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. Most patients with confirmed COVID-19 have developed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fever</w:t>
      </w:r>
      <w:hyperlink r:id="rId8" w:anchor="foot1" w:history="1">
        <w:r w:rsidRPr="00F740BB">
          <w:rPr>
            <w:rFonts w:ascii="Segoe UI" w:eastAsia="Times New Roman" w:hAnsi="Segoe UI" w:cs="Segoe UI"/>
            <w:color w:val="075290"/>
            <w:sz w:val="17"/>
            <w:szCs w:val="17"/>
            <w:highlight w:val="yellow"/>
            <w:vertAlign w:val="superscript"/>
          </w:rPr>
          <w:t>1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 and/or symptoms of acute respiratory illness (e.g., cough, difficulty breathing)</w:t>
      </w: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. Clinicians are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strongly encouraged to test for other causes of respiratory illness, including infections such as influenza</w:t>
      </w: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.</w:t>
      </w:r>
    </w:p>
    <w:p w14:paraId="26A483FA" w14:textId="77777777" w:rsidR="00F740BB" w:rsidRPr="00F740BB" w:rsidRDefault="00F740BB" w:rsidP="00F74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Epidemiologic factors that may help guide decisions on whether to test include: any persons, including healthcare workers</w:t>
      </w:r>
      <w:hyperlink r:id="rId9" w:anchor="foot2" w:history="1">
        <w:r w:rsidRPr="00F740BB">
          <w:rPr>
            <w:rFonts w:ascii="Segoe UI" w:eastAsia="Times New Roman" w:hAnsi="Segoe UI" w:cs="Segoe UI"/>
            <w:color w:val="075290"/>
            <w:sz w:val="17"/>
            <w:szCs w:val="17"/>
            <w:vertAlign w:val="superscript"/>
          </w:rPr>
          <w:t>2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, who have had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close contact</w:t>
      </w:r>
      <w:hyperlink r:id="rId10" w:anchor="foot3" w:history="1">
        <w:r w:rsidRPr="00F740BB">
          <w:rPr>
            <w:rFonts w:ascii="Segoe UI" w:eastAsia="Times New Roman" w:hAnsi="Segoe UI" w:cs="Segoe UI"/>
            <w:color w:val="075290"/>
            <w:sz w:val="17"/>
            <w:szCs w:val="17"/>
            <w:highlight w:val="yellow"/>
            <w:vertAlign w:val="superscript"/>
          </w:rPr>
          <w:t>3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 with a laboratory-confirmed</w:t>
      </w:r>
      <w:hyperlink r:id="rId11" w:anchor="foot4" w:history="1">
        <w:r w:rsidRPr="00F740BB">
          <w:rPr>
            <w:rFonts w:ascii="Segoe UI" w:eastAsia="Times New Roman" w:hAnsi="Segoe UI" w:cs="Segoe UI"/>
            <w:color w:val="075290"/>
            <w:sz w:val="17"/>
            <w:szCs w:val="17"/>
            <w:vertAlign w:val="superscript"/>
          </w:rPr>
          <w:t>4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 xml:space="preserve"> COVID-19 patient within 14 days of symptom onset, or a </w:t>
      </w:r>
      <w:r w:rsidRPr="00F740BB">
        <w:rPr>
          <w:rFonts w:ascii="Segoe UI" w:eastAsia="Times New Roman" w:hAnsi="Segoe UI" w:cs="Segoe UI"/>
          <w:color w:val="000000"/>
          <w:sz w:val="26"/>
          <w:szCs w:val="26"/>
          <w:highlight w:val="yellow"/>
        </w:rPr>
        <w:t>history of travel from affected geographic areas</w:t>
      </w:r>
      <w:hyperlink r:id="rId12" w:anchor="foot5" w:history="1">
        <w:r w:rsidRPr="00F740BB">
          <w:rPr>
            <w:rFonts w:ascii="Segoe UI" w:eastAsia="Times New Roman" w:hAnsi="Segoe UI" w:cs="Segoe UI"/>
            <w:color w:val="075290"/>
            <w:sz w:val="17"/>
            <w:szCs w:val="17"/>
            <w:highlight w:val="yellow"/>
            <w:vertAlign w:val="superscript"/>
          </w:rPr>
          <w:t>5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 (see below) within 14 days of symptom onset.</w:t>
      </w:r>
    </w:p>
    <w:p w14:paraId="1067D947" w14:textId="77777777" w:rsidR="00F740BB" w:rsidRPr="00F740BB" w:rsidRDefault="00F740BB" w:rsidP="00F740B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000000"/>
          <w:sz w:val="24"/>
          <w:szCs w:val="24"/>
        </w:rPr>
      </w:pPr>
      <w:r w:rsidRPr="00F740BB">
        <w:rPr>
          <w:rFonts w:ascii="Segoe UI" w:eastAsia="Times New Roman" w:hAnsi="Segoe UI" w:cs="Segoe UI"/>
          <w:color w:val="000000"/>
          <w:sz w:val="24"/>
          <w:szCs w:val="24"/>
        </w:rPr>
        <w:t>International Areas with Sustained (Ongoing) Transmission</w:t>
      </w:r>
    </w:p>
    <w:p w14:paraId="7B073465" w14:textId="77777777" w:rsidR="00F740BB" w:rsidRPr="00F740BB" w:rsidRDefault="00F740BB" w:rsidP="00F74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i/>
          <w:iCs/>
          <w:color w:val="000000"/>
          <w:sz w:val="26"/>
          <w:szCs w:val="26"/>
        </w:rPr>
        <w:t>Last updated February 28, 2020</w:t>
      </w:r>
    </w:p>
    <w:p w14:paraId="5E7206B4" w14:textId="77777777" w:rsidR="00F740BB" w:rsidRPr="00F740BB" w:rsidRDefault="00F740BB" w:rsidP="00F7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China (</w:t>
      </w:r>
      <w:hyperlink r:id="rId13" w:history="1">
        <w:r w:rsidRPr="00F740BB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Level 3 Travel Health Notice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)</w:t>
      </w:r>
    </w:p>
    <w:p w14:paraId="5778214C" w14:textId="77777777" w:rsidR="00F740BB" w:rsidRPr="00F740BB" w:rsidRDefault="00F740BB" w:rsidP="00F7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Iran (</w:t>
      </w:r>
      <w:hyperlink r:id="rId14" w:history="1">
        <w:r w:rsidRPr="00F740BB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Level 3 Travel Health Notice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)</w:t>
      </w:r>
    </w:p>
    <w:p w14:paraId="36A24EC1" w14:textId="77777777" w:rsidR="00F740BB" w:rsidRPr="00F740BB" w:rsidRDefault="00F740BB" w:rsidP="00F7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Italy (</w:t>
      </w:r>
      <w:hyperlink r:id="rId15" w:history="1">
        <w:r w:rsidRPr="00F740BB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Level 3 Travel Health Notice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)</w:t>
      </w:r>
    </w:p>
    <w:p w14:paraId="0BB41C68" w14:textId="77777777" w:rsidR="00F740BB" w:rsidRPr="00F740BB" w:rsidRDefault="00F740BB" w:rsidP="00F7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Japan (</w:t>
      </w:r>
      <w:hyperlink r:id="rId16" w:history="1">
        <w:r w:rsidRPr="00F740BB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Level 2 Travel Health Notice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)</w:t>
      </w:r>
    </w:p>
    <w:p w14:paraId="17B2708A" w14:textId="77777777" w:rsidR="00F740BB" w:rsidRPr="00F740BB" w:rsidRDefault="00F740BB" w:rsidP="00F74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6"/>
          <w:szCs w:val="26"/>
        </w:rPr>
      </w:pPr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South Korea (</w:t>
      </w:r>
      <w:hyperlink r:id="rId17" w:history="1">
        <w:r w:rsidRPr="00F740BB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Level 3 Travel Health Notice</w:t>
        </w:r>
      </w:hyperlink>
      <w:r w:rsidRPr="00F740BB">
        <w:rPr>
          <w:rFonts w:ascii="Segoe UI" w:eastAsia="Times New Roman" w:hAnsi="Segoe UI" w:cs="Segoe UI"/>
          <w:color w:val="000000"/>
          <w:sz w:val="26"/>
          <w:szCs w:val="26"/>
        </w:rPr>
        <w:t>)</w:t>
      </w:r>
    </w:p>
    <w:p w14:paraId="33941ECC" w14:textId="77777777" w:rsidR="00F740BB" w:rsidRDefault="00236D90" w:rsidP="00F740BB">
      <w:pPr>
        <w:shd w:val="clear" w:color="auto" w:fill="FFFFFF"/>
        <w:spacing w:before="100" w:beforeAutospacing="1" w:after="100" w:afterAutospacing="1" w:line="240" w:lineRule="auto"/>
      </w:pPr>
      <w:hyperlink r:id="rId18" w:history="1">
        <w:r w:rsidR="00F740BB">
          <w:rPr>
            <w:rStyle w:val="Hyperlink"/>
          </w:rPr>
          <w:t>https://www.cdc.gov/coronavirus/2019-nCoV/hcp/clinical-criteria.html</w:t>
        </w:r>
      </w:hyperlink>
    </w:p>
    <w:p w14:paraId="546E4895" w14:textId="77777777" w:rsidR="00F740BB" w:rsidRPr="00F740BB" w:rsidRDefault="00F740BB" w:rsidP="00F740B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lastRenderedPageBreak/>
        <w:t>Dr. Barlow’s Comments: keep in mind community spread has been documented in California, Washington, Oregon, New York</w:t>
      </w:r>
      <w:r w:rsidR="0021258E">
        <w:rPr>
          <w:rFonts w:ascii="Segoe UI" w:eastAsia="Times New Roman" w:hAnsi="Segoe UI" w:cs="Segoe UI"/>
          <w:color w:val="000000"/>
          <w:sz w:val="26"/>
          <w:szCs w:val="26"/>
        </w:rPr>
        <w:t>, New Jersey</w:t>
      </w:r>
      <w:r>
        <w:rPr>
          <w:rFonts w:ascii="Segoe UI" w:eastAsia="Times New Roman" w:hAnsi="Segoe UI" w:cs="Segoe UI"/>
          <w:color w:val="000000"/>
          <w:sz w:val="26"/>
          <w:szCs w:val="26"/>
        </w:rPr>
        <w:t xml:space="preserve"> and Florida</w:t>
      </w:r>
      <w:r w:rsidR="0021258E">
        <w:rPr>
          <w:rFonts w:ascii="Segoe UI" w:eastAsia="Times New Roman" w:hAnsi="Segoe UI" w:cs="Segoe UI"/>
          <w:color w:val="000000"/>
          <w:sz w:val="26"/>
          <w:szCs w:val="26"/>
        </w:rPr>
        <w:t xml:space="preserve"> (updated March 5</w:t>
      </w:r>
      <w:r w:rsidR="0021258E" w:rsidRPr="0021258E">
        <w:rPr>
          <w:rFonts w:ascii="Segoe UI" w:eastAsia="Times New Roman" w:hAnsi="Segoe UI" w:cs="Segoe UI"/>
          <w:color w:val="000000"/>
          <w:sz w:val="26"/>
          <w:szCs w:val="26"/>
          <w:vertAlign w:val="superscript"/>
        </w:rPr>
        <w:t>th</w:t>
      </w:r>
      <w:r w:rsidR="0021258E">
        <w:rPr>
          <w:rFonts w:ascii="Segoe UI" w:eastAsia="Times New Roman" w:hAnsi="Segoe UI" w:cs="Segoe UI"/>
          <w:color w:val="000000"/>
          <w:sz w:val="26"/>
          <w:szCs w:val="26"/>
        </w:rPr>
        <w:t>)</w:t>
      </w:r>
    </w:p>
    <w:p w14:paraId="25E3591E" w14:textId="77777777" w:rsidR="005576E7" w:rsidRDefault="005576E7"/>
    <w:sectPr w:rsidR="00557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962"/>
    <w:multiLevelType w:val="multilevel"/>
    <w:tmpl w:val="D33A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A3F4E"/>
    <w:multiLevelType w:val="multilevel"/>
    <w:tmpl w:val="AD5A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BB"/>
    <w:rsid w:val="0021258E"/>
    <w:rsid w:val="00236D90"/>
    <w:rsid w:val="005576E7"/>
    <w:rsid w:val="00F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D1F6"/>
  <w15:chartTrackingRefBased/>
  <w15:docId w15:val="{798E6781-10BB-45E4-B145-A6D5D3D7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74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0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740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40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740BB"/>
    <w:rPr>
      <w:i/>
      <w:iCs/>
    </w:rPr>
  </w:style>
  <w:style w:type="character" w:styleId="Strong">
    <w:name w:val="Strong"/>
    <w:basedOn w:val="DefaultParagraphFont"/>
    <w:uiPriority w:val="22"/>
    <w:qFormat/>
    <w:rsid w:val="00F74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4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245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clinical-criteria.html" TargetMode="External"/><Relationship Id="rId13" Type="http://schemas.openxmlformats.org/officeDocument/2006/relationships/hyperlink" Target="https://wwwnc.cdc.gov/travel/notices/warning/novel-coronavirus-china" TargetMode="External"/><Relationship Id="rId18" Type="http://schemas.openxmlformats.org/officeDocument/2006/relationships/hyperlink" Target="https://www.cdc.gov/coronavirus/2019-nCoV/hcp/clinical-criteri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hcp/clinical-criteria.html" TargetMode="External"/><Relationship Id="rId17" Type="http://schemas.openxmlformats.org/officeDocument/2006/relationships/hyperlink" Target="https://wwwnc.cdc.gov/travel/notices/warning/coronavirus-south-kore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nc.cdc.gov/travel/notices/alert/coronavirus-jap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hcp/clinical-criteri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nc.cdc.gov/travel/notices/warning/coronavirus-italy" TargetMode="External"/><Relationship Id="rId10" Type="http://schemas.openxmlformats.org/officeDocument/2006/relationships/hyperlink" Target="https://www.cdc.gov/coronavirus/2019-ncov/hcp/clinical-criteria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hcp/clinical-criteria.html" TargetMode="External"/><Relationship Id="rId14" Type="http://schemas.openxmlformats.org/officeDocument/2006/relationships/hyperlink" Target="https://wwwnc.cdc.gov/travel/notices/warning/coronavirus-i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769efdd4-12a4-4c12-ad42-1369e7dc0af8" xsi:nil="true"/>
    <MigrationWizIdDocumentLibraryPermissions xmlns="769efdd4-12a4-4c12-ad42-1369e7dc0af8" xsi:nil="true"/>
    <MigrationWizIdSecurityGroups xmlns="769efdd4-12a4-4c12-ad42-1369e7dc0af8" xsi:nil="true"/>
    <MigrationWizId xmlns="769efdd4-12a4-4c12-ad42-1369e7dc0af8" xsi:nil="true"/>
    <MigrationWizIdPermissionLevels xmlns="769efdd4-12a4-4c12-ad42-1369e7dc0a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2C1A7D7334043A12B056C19602824" ma:contentTypeVersion="15" ma:contentTypeDescription="Create a new document." ma:contentTypeScope="" ma:versionID="69c5cee7d693dbc29b6752b101d1b2e8">
  <xsd:schema xmlns:xsd="http://www.w3.org/2001/XMLSchema" xmlns:xs="http://www.w3.org/2001/XMLSchema" xmlns:p="http://schemas.microsoft.com/office/2006/metadata/properties" xmlns:ns3="769efdd4-12a4-4c12-ad42-1369e7dc0af8" xmlns:ns4="851deddb-a6c5-44ca-99f6-256dded568af" targetNamespace="http://schemas.microsoft.com/office/2006/metadata/properties" ma:root="true" ma:fieldsID="1ae8ac672b61bf40525003ee97987c66" ns3:_="" ns4:_="">
    <xsd:import namespace="769efdd4-12a4-4c12-ad42-1369e7dc0af8"/>
    <xsd:import namespace="851deddb-a6c5-44ca-99f6-256dded568a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efdd4-12a4-4c12-ad42-1369e7dc0af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eddb-a6c5-44ca-99f6-256dded5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7DB4E-C178-4591-AB6F-708ABD5909CF}">
  <ds:schemaRefs>
    <ds:schemaRef ds:uri="http://schemas.microsoft.com/office/2006/metadata/properties"/>
    <ds:schemaRef ds:uri="851deddb-a6c5-44ca-99f6-256dded568af"/>
    <ds:schemaRef ds:uri="http://purl.org/dc/elements/1.1/"/>
    <ds:schemaRef ds:uri="http://schemas.microsoft.com/office/2006/documentManagement/types"/>
    <ds:schemaRef ds:uri="http://purl.org/dc/dcmitype/"/>
    <ds:schemaRef ds:uri="769efdd4-12a4-4c12-ad42-1369e7dc0a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B67B52-6A99-43BD-8BB0-E23B849B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efdd4-12a4-4c12-ad42-1369e7dc0af8"/>
    <ds:schemaRef ds:uri="851deddb-a6c5-44ca-99f6-256dded56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6EA78-CD02-4D3E-BE5C-B7E19A6BA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Barlow</dc:creator>
  <cp:keywords/>
  <dc:description/>
  <cp:lastModifiedBy>Josie Lane (NCCHCA)</cp:lastModifiedBy>
  <cp:revision>2</cp:revision>
  <dcterms:created xsi:type="dcterms:W3CDTF">2020-03-09T19:13:00Z</dcterms:created>
  <dcterms:modified xsi:type="dcterms:W3CDTF">2020-03-09T19:13:00Z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0x010100A6E2C1A7D7334043A12B056C19602824</vt:lpwstr>
  </property>
</Properties>
</file>