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D3BF" w14:textId="0F9DF235" w:rsidR="00B3775E" w:rsidRPr="00B3775E" w:rsidRDefault="00B3775E" w:rsidP="00B3775E">
      <w:pPr>
        <w:rPr>
          <w:b/>
          <w:bCs/>
          <w:sz w:val="28"/>
          <w:szCs w:val="28"/>
        </w:rPr>
      </w:pPr>
      <w:r w:rsidRPr="00B3775E">
        <w:rPr>
          <w:b/>
          <w:bCs/>
          <w:sz w:val="28"/>
          <w:szCs w:val="28"/>
        </w:rPr>
        <w:t>Monoclonal Antibody Summary</w:t>
      </w:r>
    </w:p>
    <w:p w14:paraId="396197A6" w14:textId="77777777" w:rsidR="00B3775E" w:rsidRDefault="00B3775E" w:rsidP="00B3775E"/>
    <w:p w14:paraId="7997A6E9" w14:textId="14C3EAC9" w:rsidR="00B3775E" w:rsidRDefault="00B3775E" w:rsidP="00B3775E">
      <w:r>
        <w:t>Administration</w:t>
      </w:r>
    </w:p>
    <w:p w14:paraId="49EB33AD" w14:textId="77777777" w:rsidR="00B3775E" w:rsidRDefault="00B3775E" w:rsidP="00B377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REGEN-COV is authorized for emergency use for the treatment of mild to moderate COVID-19 in adult and pediatric patients (12 years of age and older weighing at least 40 kg) with positive results of direct SARS-CoV-2 viral testing, and who are at high risk for progression to severe COVID-19, including hospitalization or death.</w:t>
      </w:r>
    </w:p>
    <w:p w14:paraId="5F2A5793" w14:textId="77777777" w:rsidR="00B3775E" w:rsidRDefault="00B3775E" w:rsidP="00B3775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EUA does contain a list of high-risk conditions, but also allows a provider to use their clinical judgement to determine if an individual is considered high-risk for severe COVID-19.</w:t>
      </w:r>
    </w:p>
    <w:p w14:paraId="766E9989" w14:textId="77777777" w:rsidR="00B3775E" w:rsidRDefault="00B3775E" w:rsidP="00B3775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treatment, REGEN-COV can be given via </w:t>
      </w:r>
      <w:r>
        <w:rPr>
          <w:rFonts w:eastAsia="Times New Roman"/>
          <w:b/>
          <w:bCs/>
        </w:rPr>
        <w:t xml:space="preserve">IV infusion followed by a </w:t>
      </w:r>
      <w:proofErr w:type="gramStart"/>
      <w:r>
        <w:rPr>
          <w:rFonts w:eastAsia="Times New Roman"/>
          <w:b/>
          <w:bCs/>
        </w:rPr>
        <w:t>1 hour</w:t>
      </w:r>
      <w:proofErr w:type="gramEnd"/>
      <w:r>
        <w:rPr>
          <w:rFonts w:eastAsia="Times New Roman"/>
          <w:b/>
          <w:bCs/>
        </w:rPr>
        <w:t xml:space="preserve"> observation period</w:t>
      </w:r>
      <w:r>
        <w:rPr>
          <w:rFonts w:eastAsia="Times New Roman"/>
        </w:rPr>
        <w:t xml:space="preserve">. If IV administration is not feasible, it </w:t>
      </w:r>
      <w:r>
        <w:rPr>
          <w:rFonts w:eastAsia="Times New Roman"/>
          <w:b/>
          <w:bCs/>
        </w:rPr>
        <w:t>can be given subcutaneously</w:t>
      </w:r>
      <w:r>
        <w:rPr>
          <w:rFonts w:eastAsia="Times New Roman"/>
        </w:rPr>
        <w:t xml:space="preserve">. The </w:t>
      </w:r>
      <w:proofErr w:type="gramStart"/>
      <w:r>
        <w:rPr>
          <w:rFonts w:eastAsia="Times New Roman"/>
        </w:rPr>
        <w:t>1 hour</w:t>
      </w:r>
      <w:proofErr w:type="gramEnd"/>
      <w:r>
        <w:rPr>
          <w:rFonts w:eastAsia="Times New Roman"/>
        </w:rPr>
        <w:t xml:space="preserve"> observation period still applies.</w:t>
      </w:r>
    </w:p>
    <w:p w14:paraId="0C0515A2" w14:textId="77777777" w:rsidR="00B3775E" w:rsidRDefault="00B3775E" w:rsidP="00B3775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Treatment must be given within 10 days of symptom onset</w:t>
      </w:r>
      <w:r>
        <w:rPr>
          <w:rFonts w:eastAsia="Times New Roman"/>
        </w:rPr>
        <w:t>, so early testing is critical.</w:t>
      </w:r>
    </w:p>
    <w:p w14:paraId="3A1B9AE1" w14:textId="77777777" w:rsidR="00B3775E" w:rsidRDefault="00B3775E" w:rsidP="00B3775E">
      <w:pPr>
        <w:pStyle w:val="ListParagraph"/>
        <w:numPr>
          <w:ilvl w:val="0"/>
          <w:numId w:val="1"/>
        </w:numPr>
        <w:rPr>
          <w:rStyle w:val="eop"/>
        </w:rPr>
      </w:pPr>
      <w:r>
        <w:rPr>
          <w:rFonts w:eastAsia="Times New Roman"/>
        </w:rPr>
        <w:t>REGEN-COV is also authorized</w:t>
      </w:r>
      <w:r>
        <w:rPr>
          <w:rStyle w:val="normaltextrun"/>
          <w:rFonts w:eastAsia="Times New Roman"/>
          <w:color w:val="000000"/>
        </w:rPr>
        <w:t xml:space="preserve"> for emergency use as post-exposure prophylaxis in some patients who are exposed to COVID-19 even if they are not showing symptoms. People who are not fully vaccinated or who have immunocompromising conditions, including those taking immunosuppressive medications, and have either been exposed to COVID-19 or are at high risk of exposure due to where they </w:t>
      </w:r>
      <w:proofErr w:type="gramStart"/>
      <w:r>
        <w:rPr>
          <w:rStyle w:val="normaltextrun"/>
          <w:rFonts w:eastAsia="Times New Roman"/>
          <w:color w:val="000000"/>
        </w:rPr>
        <w:t>live</w:t>
      </w:r>
      <w:proofErr w:type="gramEnd"/>
      <w:r>
        <w:rPr>
          <w:rStyle w:val="normaltextrun"/>
          <w:rFonts w:eastAsia="Times New Roman"/>
          <w:color w:val="000000"/>
        </w:rPr>
        <w:t xml:space="preserve"> or work may qualify for preventative treatment. </w:t>
      </w:r>
    </w:p>
    <w:p w14:paraId="501177F6" w14:textId="77777777" w:rsidR="00B3775E" w:rsidRDefault="00B3775E" w:rsidP="00B3775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Post-exposure prophylaxis, REGEN-COV </w:t>
      </w:r>
      <w:r>
        <w:rPr>
          <w:rFonts w:eastAsia="Times New Roman"/>
          <w:b/>
          <w:bCs/>
        </w:rPr>
        <w:t>can be given IV or subcutaneously</w:t>
      </w:r>
      <w:r>
        <w:rPr>
          <w:rFonts w:eastAsia="Times New Roman"/>
        </w:rPr>
        <w:t xml:space="preserve"> and the </w:t>
      </w:r>
      <w:proofErr w:type="gramStart"/>
      <w:r>
        <w:rPr>
          <w:rFonts w:eastAsia="Times New Roman"/>
        </w:rPr>
        <w:t>1 hour</w:t>
      </w:r>
      <w:proofErr w:type="gramEnd"/>
      <w:r>
        <w:rPr>
          <w:rFonts w:eastAsia="Times New Roman"/>
        </w:rPr>
        <w:t xml:space="preserve"> observation period still applies.</w:t>
      </w:r>
    </w:p>
    <w:p w14:paraId="49340A7C" w14:textId="77777777" w:rsidR="00B3775E" w:rsidRDefault="00B3775E" w:rsidP="00B377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REGEN-COV can only be administered in settings where there is immediate access to medications to treat severe anaphylactic type reactions and the ability to activate EMS as necessary.</w:t>
      </w:r>
    </w:p>
    <w:p w14:paraId="6C830306" w14:textId="77777777" w:rsidR="00B3775E" w:rsidRDefault="00B3775E" w:rsidP="00B3775E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Fonts w:eastAsia="Times New Roman"/>
        </w:rPr>
        <w:t>There is no set list of rescue medications that you must have on hand.</w:t>
      </w:r>
    </w:p>
    <w:p w14:paraId="7917DE0F" w14:textId="77777777" w:rsidR="00B3775E" w:rsidRDefault="00B3775E" w:rsidP="00B3775E">
      <w:pPr>
        <w:ind w:left="360"/>
      </w:pPr>
    </w:p>
    <w:p w14:paraId="23AEE069" w14:textId="77777777" w:rsidR="00B3775E" w:rsidRDefault="00B3775E" w:rsidP="00B3775E">
      <w:r>
        <w:t>Ordering:</w:t>
      </w:r>
    </w:p>
    <w:p w14:paraId="06E3D279" w14:textId="77777777" w:rsidR="00B3775E" w:rsidRDefault="00B3775E" w:rsidP="00B3775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Providers capable of adhering to the EUA, can order REGEN-COV directly from AmerisourceBergen (ABC) </w:t>
      </w:r>
      <w:r>
        <w:rPr>
          <w:rFonts w:eastAsia="Times New Roman"/>
          <w:b/>
          <w:bCs/>
          <w:u w:val="single"/>
        </w:rPr>
        <w:t>at no cost</w:t>
      </w:r>
      <w:r>
        <w:rPr>
          <w:rFonts w:eastAsia="Times New Roman"/>
        </w:rPr>
        <w:t xml:space="preserve"> using this online order form: </w:t>
      </w:r>
      <w:hyperlink r:id="rId5" w:history="1">
        <w:r>
          <w:rPr>
            <w:rStyle w:val="Hyperlink"/>
            <w:rFonts w:eastAsia="Times New Roman"/>
          </w:rPr>
          <w:t>https://app.smartsheet.com/b/form/255d164d67834793b4ab549e160941e8</w:t>
        </w:r>
      </w:hyperlink>
    </w:p>
    <w:p w14:paraId="6D0E1384" w14:textId="77777777" w:rsidR="00B3775E" w:rsidRDefault="00B3775E" w:rsidP="00B3775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First time orders will be asked to submit medical licensure or NC Board of Pharmacy license information. There may be a </w:t>
      </w:r>
      <w:proofErr w:type="gramStart"/>
      <w:r>
        <w:rPr>
          <w:rFonts w:eastAsia="Times New Roman"/>
        </w:rPr>
        <w:t>1-2 day</w:t>
      </w:r>
      <w:proofErr w:type="gramEnd"/>
      <w:r>
        <w:rPr>
          <w:rFonts w:eastAsia="Times New Roman"/>
        </w:rPr>
        <w:t xml:space="preserve"> delay for first time orders as they will have to setup an account for you. </w:t>
      </w:r>
    </w:p>
    <w:p w14:paraId="500FAB8F" w14:textId="77777777" w:rsidR="00B3775E" w:rsidRDefault="00B3775E" w:rsidP="00B3775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Orders are prioritized based on the “need by” date submitted with your request. </w:t>
      </w:r>
    </w:p>
    <w:p w14:paraId="0435697D" w14:textId="77777777" w:rsidR="00B3775E" w:rsidRDefault="00B3775E" w:rsidP="00B3775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Product ships at refrigerated temps 2-8</w:t>
      </w:r>
      <w:r>
        <w:rPr>
          <w:rFonts w:eastAsia="Times New Roman"/>
          <w:b/>
          <w:bCs/>
          <w:vertAlign w:val="superscript"/>
        </w:rPr>
        <w:t>o</w:t>
      </w:r>
      <w:r>
        <w:rPr>
          <w:rFonts w:eastAsia="Times New Roman"/>
          <w:b/>
          <w:bCs/>
        </w:rPr>
        <w:t>C and should be stored refrigerated until preparation for administration</w:t>
      </w:r>
      <w:r>
        <w:rPr>
          <w:rFonts w:eastAsia="Times New Roman"/>
        </w:rPr>
        <w:t>. REGEN-COV now comes in a co-formulated 10mL single dose vial.</w:t>
      </w:r>
    </w:p>
    <w:p w14:paraId="101CA067" w14:textId="77777777" w:rsidR="00B3775E" w:rsidRDefault="00B3775E" w:rsidP="00B3775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Minimum order quantity is 10 patient courses</w:t>
      </w:r>
    </w:p>
    <w:p w14:paraId="3542478A" w14:textId="77777777" w:rsidR="00B3775E" w:rsidRDefault="00B3775E" w:rsidP="00B3775E"/>
    <w:p w14:paraId="4ABF54D8" w14:textId="77777777" w:rsidR="00B3775E" w:rsidRDefault="00B3775E" w:rsidP="00B3775E">
      <w:r>
        <w:t xml:space="preserve">Here is a link to the </w:t>
      </w:r>
      <w:hyperlink r:id="rId6" w:history="1">
        <w:r>
          <w:rPr>
            <w:rStyle w:val="Hyperlink"/>
          </w:rPr>
          <w:t>Federal Monoclonal Antibody Playbook</w:t>
        </w:r>
      </w:hyperlink>
      <w:r>
        <w:t xml:space="preserve">. Starting on slide 18 includes readiness checklist, suggested supplies, </w:t>
      </w:r>
      <w:proofErr w:type="gramStart"/>
      <w:r>
        <w:t>roles</w:t>
      </w:r>
      <w:proofErr w:type="gramEnd"/>
      <w:r>
        <w:t xml:space="preserve"> and responsibilities needed onsite.</w:t>
      </w:r>
    </w:p>
    <w:p w14:paraId="2926C8E6" w14:textId="77777777" w:rsidR="00B3775E" w:rsidRDefault="00B3775E" w:rsidP="00B3775E"/>
    <w:p w14:paraId="4FF5DEA5" w14:textId="77777777" w:rsidR="00B3775E" w:rsidRDefault="00B3775E" w:rsidP="00B3775E">
      <w:r>
        <w:t>Additional Resources that you may find helpful:</w:t>
      </w:r>
    </w:p>
    <w:p w14:paraId="266B3789" w14:textId="77777777" w:rsidR="00B3775E" w:rsidRDefault="00B3775E" w:rsidP="00B3775E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Most current Emergency Use Authorization (EUA) Fact Sheets:</w:t>
      </w:r>
    </w:p>
    <w:p w14:paraId="7A3E4334" w14:textId="77777777" w:rsidR="00B3775E" w:rsidRDefault="00B3775E" w:rsidP="00B3775E">
      <w:pPr>
        <w:pStyle w:val="ListParagraph"/>
        <w:numPr>
          <w:ilvl w:val="1"/>
          <w:numId w:val="3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REGEN-COV EUA Fact Sheet for Healthcare Providers</w:t>
        </w:r>
      </w:hyperlink>
      <w:r>
        <w:rPr>
          <w:rFonts w:eastAsia="Times New Roman"/>
        </w:rPr>
        <w:t xml:space="preserve"> (MUST READ as it contains all the requirements related to REGEN-COV Use)</w:t>
      </w:r>
    </w:p>
    <w:p w14:paraId="41A52A2F" w14:textId="77777777" w:rsidR="00B3775E" w:rsidRDefault="00B3775E" w:rsidP="00B3775E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REGEN-COV Fact Sheet to Patients, Parents and Caregivers: </w:t>
      </w:r>
      <w:hyperlink r:id="rId8" w:history="1">
        <w:r>
          <w:rPr>
            <w:rStyle w:val="Hyperlink"/>
            <w:rFonts w:eastAsia="Times New Roman"/>
          </w:rPr>
          <w:t>English</w:t>
        </w:r>
      </w:hyperlink>
      <w:r>
        <w:rPr>
          <w:rFonts w:eastAsia="Times New Roman"/>
        </w:rPr>
        <w:t xml:space="preserve"> &amp; </w:t>
      </w:r>
      <w:hyperlink r:id="rId9" w:history="1">
        <w:r>
          <w:rPr>
            <w:rStyle w:val="Hyperlink"/>
            <w:rFonts w:eastAsia="Times New Roman"/>
          </w:rPr>
          <w:t>Spanish</w:t>
        </w:r>
      </w:hyperlink>
    </w:p>
    <w:p w14:paraId="7850367F" w14:textId="77777777" w:rsidR="00B3775E" w:rsidRDefault="00B3775E" w:rsidP="00B3775E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FDA statement about using REGEN-COV as post-exposure prophylaxis</w:t>
        </w:r>
      </w:hyperlink>
      <w:r>
        <w:rPr>
          <w:rFonts w:eastAsia="Times New Roman"/>
        </w:rPr>
        <w:t xml:space="preserve"> (REGEN-COV Authorized for PEP as of 7/30/21)</w:t>
      </w:r>
    </w:p>
    <w:p w14:paraId="384795C8" w14:textId="77777777" w:rsidR="00B3775E" w:rsidRDefault="00B3775E" w:rsidP="00B3775E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National Infusion Center Association (NICA) COVID-19 Therapy Locator Tool</w:t>
        </w:r>
      </w:hyperlink>
      <w:r>
        <w:rPr>
          <w:rFonts w:eastAsia="Times New Roman"/>
        </w:rPr>
        <w:t xml:space="preserve"> and </w:t>
      </w:r>
      <w:hyperlink r:id="rId12" w:history="1">
        <w:r>
          <w:rPr>
            <w:rStyle w:val="Hyperlink"/>
            <w:rFonts w:eastAsia="Times New Roman"/>
          </w:rPr>
          <w:t>instructions on how to claim your profile once it is added to the site</w:t>
        </w:r>
      </w:hyperlink>
      <w:r>
        <w:rPr>
          <w:rFonts w:eastAsia="Times New Roman"/>
        </w:rPr>
        <w:t xml:space="preserve"> which happens automatically after placing your first order.</w:t>
      </w:r>
    </w:p>
    <w:p w14:paraId="2D49E602" w14:textId="77777777" w:rsidR="00B3775E" w:rsidRDefault="00B3775E" w:rsidP="00B3775E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This is the locator tool that we point the </w:t>
      </w:r>
      <w:proofErr w:type="gramStart"/>
      <w:r>
        <w:rPr>
          <w:rFonts w:eastAsia="Times New Roman"/>
        </w:rPr>
        <w:t>general public</w:t>
      </w:r>
      <w:proofErr w:type="gramEnd"/>
      <w:r>
        <w:rPr>
          <w:rFonts w:eastAsia="Times New Roman"/>
        </w:rPr>
        <w:t xml:space="preserve"> to in all of our monoclonal antibody information.</w:t>
      </w:r>
    </w:p>
    <w:p w14:paraId="0709B817" w14:textId="77777777" w:rsidR="00B3775E" w:rsidRDefault="00B3775E" w:rsidP="00B3775E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NICA Best practices</w:t>
        </w:r>
      </w:hyperlink>
    </w:p>
    <w:p w14:paraId="1AE80A46" w14:textId="77777777" w:rsidR="00B3775E" w:rsidRDefault="00B3775E" w:rsidP="00B3775E"/>
    <w:p w14:paraId="52DED095" w14:textId="77777777" w:rsidR="00B3775E" w:rsidRDefault="00B3775E" w:rsidP="00B3775E">
      <w:r>
        <w:t>Reimbursement Information:</w:t>
      </w:r>
    </w:p>
    <w:p w14:paraId="48F4C3F6" w14:textId="77777777" w:rsidR="00B3775E" w:rsidRDefault="00B3775E" w:rsidP="00B3775E">
      <w:pPr>
        <w:pStyle w:val="ListParagraph"/>
        <w:numPr>
          <w:ilvl w:val="0"/>
          <w:numId w:val="4"/>
        </w:num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 xml:space="preserve">Centers for Medicare &amp; Medicaid services </w:t>
        </w:r>
        <w:proofErr w:type="spellStart"/>
        <w:r>
          <w:rPr>
            <w:rStyle w:val="Hyperlink"/>
            <w:rFonts w:eastAsia="Times New Roman"/>
          </w:rPr>
          <w:t>mAb</w:t>
        </w:r>
        <w:proofErr w:type="spellEnd"/>
        <w:r>
          <w:rPr>
            <w:rStyle w:val="Hyperlink"/>
            <w:rFonts w:eastAsia="Times New Roman"/>
          </w:rPr>
          <w:t xml:space="preserve"> website</w:t>
        </w:r>
      </w:hyperlink>
      <w:r>
        <w:rPr>
          <w:rFonts w:eastAsia="Times New Roman"/>
        </w:rPr>
        <w:t xml:space="preserve"> – contains billing codes and reimbursement rates</w:t>
      </w:r>
    </w:p>
    <w:p w14:paraId="710E9A6B" w14:textId="77777777" w:rsidR="00B3775E" w:rsidRDefault="00B3775E" w:rsidP="00B3775E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Since the product itself is provided free of charge, you cannot charge the patient for the medication. However, you can bill insurance for the administration fee.</w:t>
      </w:r>
    </w:p>
    <w:p w14:paraId="5846E3D8" w14:textId="77777777" w:rsidR="00B3775E" w:rsidRDefault="00B3775E" w:rsidP="00B3775E">
      <w:pPr>
        <w:pStyle w:val="ListParagraph"/>
        <w:numPr>
          <w:ilvl w:val="0"/>
          <w:numId w:val="4"/>
        </w:num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HRSA reimbursement program for the uninsured</w:t>
        </w:r>
      </w:hyperlink>
      <w:r>
        <w:rPr>
          <w:rFonts w:eastAsia="Times New Roman"/>
        </w:rPr>
        <w:t>.</w:t>
      </w:r>
    </w:p>
    <w:p w14:paraId="329FC1BE" w14:textId="77777777" w:rsidR="00B3775E" w:rsidRDefault="00B3775E" w:rsidP="00B3775E"/>
    <w:p w14:paraId="35D85B8F" w14:textId="77777777" w:rsidR="00B3775E" w:rsidRDefault="00B3775E" w:rsidP="00B3775E">
      <w:r>
        <w:t>Utilization Reporting:</w:t>
      </w:r>
    </w:p>
    <w:p w14:paraId="483D4601" w14:textId="77777777" w:rsidR="00B3775E" w:rsidRDefault="00B3775E" w:rsidP="00B3775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NC DHHS currently collects </w:t>
      </w:r>
      <w:proofErr w:type="spellStart"/>
      <w:r>
        <w:rPr>
          <w:rFonts w:eastAsia="Times New Roman"/>
        </w:rPr>
        <w:t>mAb</w:t>
      </w:r>
      <w:proofErr w:type="spellEnd"/>
      <w:r>
        <w:rPr>
          <w:rFonts w:eastAsia="Times New Roman"/>
        </w:rPr>
        <w:t xml:space="preserve"> inventory and use information weekly from all </w:t>
      </w:r>
      <w:proofErr w:type="spellStart"/>
      <w:r>
        <w:rPr>
          <w:rFonts w:eastAsia="Times New Roman"/>
        </w:rPr>
        <w:t>mAb</w:t>
      </w:r>
      <w:proofErr w:type="spellEnd"/>
      <w:r>
        <w:rPr>
          <w:rFonts w:eastAsia="Times New Roman"/>
        </w:rPr>
        <w:t xml:space="preserve"> providers via online survey every Wednesday. Here is what the survey currently looks like: </w:t>
      </w:r>
      <w:hyperlink r:id="rId16" w:history="1">
        <w:r>
          <w:rPr>
            <w:rStyle w:val="Hyperlink"/>
            <w:rFonts w:eastAsia="Times New Roman"/>
          </w:rPr>
          <w:t>https://surveymax.dhhs.state.nc.us/TakeSurvey.aspx?SurveyID=therapeutics#</w:t>
        </w:r>
      </w:hyperlink>
    </w:p>
    <w:p w14:paraId="71B37205" w14:textId="77777777" w:rsidR="00B3775E" w:rsidRDefault="00B3775E" w:rsidP="00B3775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 email the survey link to all providers every Wednesday with a reminder to report.</w:t>
      </w:r>
    </w:p>
    <w:p w14:paraId="0C2A2BF8" w14:textId="77777777" w:rsidR="00B3775E" w:rsidRDefault="00B3775E" w:rsidP="00B3775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Federal Government also collects this information through their system called </w:t>
      </w:r>
      <w:proofErr w:type="spellStart"/>
      <w:r>
        <w:rPr>
          <w:rFonts w:eastAsia="Times New Roman"/>
        </w:rPr>
        <w:t>Teletracking</w:t>
      </w:r>
      <w:proofErr w:type="spellEnd"/>
      <w:r>
        <w:rPr>
          <w:rFonts w:eastAsia="Times New Roman"/>
        </w:rPr>
        <w:t xml:space="preserve"> and they will reach out to you via email to sign up for their system after placing your first order.</w:t>
      </w:r>
    </w:p>
    <w:p w14:paraId="691B3A4D" w14:textId="77777777" w:rsidR="00407867" w:rsidRPr="00B3775E" w:rsidRDefault="00407867" w:rsidP="00B3775E"/>
    <w:sectPr w:rsidR="00407867" w:rsidRPr="00B3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92"/>
    <w:multiLevelType w:val="hybridMultilevel"/>
    <w:tmpl w:val="2390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27C7"/>
    <w:multiLevelType w:val="hybridMultilevel"/>
    <w:tmpl w:val="7D20A2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5E0B47"/>
    <w:multiLevelType w:val="hybridMultilevel"/>
    <w:tmpl w:val="BB94A1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716104B"/>
    <w:multiLevelType w:val="hybridMultilevel"/>
    <w:tmpl w:val="A63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30AB"/>
    <w:multiLevelType w:val="hybridMultilevel"/>
    <w:tmpl w:val="BAC4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5E"/>
    <w:rsid w:val="00407867"/>
    <w:rsid w:val="00B3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3E16"/>
  <w15:chartTrackingRefBased/>
  <w15:docId w15:val="{14AF63AE-05CE-46DF-8188-B1C7D9A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7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775E"/>
    <w:pPr>
      <w:ind w:left="720"/>
    </w:pPr>
  </w:style>
  <w:style w:type="character" w:customStyle="1" w:styleId="normaltextrun">
    <w:name w:val="normaltextrun"/>
    <w:basedOn w:val="DefaultParagraphFont"/>
    <w:rsid w:val="00B3775E"/>
  </w:style>
  <w:style w:type="character" w:customStyle="1" w:styleId="eop">
    <w:name w:val="eop"/>
    <w:basedOn w:val="DefaultParagraphFont"/>
    <w:rsid w:val="00B3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fda.gov/media/145612/download__;!!HYmSToo!NKKaMrwAmSWX69W5Ug4vbOpr9l2w5gUTbEeB4dP6v5UeDnMXlx9wBgfKeevuI6lEA69E$" TargetMode="External"/><Relationship Id="rId13" Type="http://schemas.openxmlformats.org/officeDocument/2006/relationships/hyperlink" Target="https://urldefense.com/v3/__https:/infusioncenter.org/nica-monoclonal-antibody-therapies-best-practices/__;!!HYmSToo!NKKaMrwAmSWX69W5Ug4vbOpr9l2w5gUTbEeB4dP6v5UeDnMXlx9wBgfKeevuI6PqzoXg$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fda.gov/media/145611/download__;!!HYmSToo!NKKaMrwAmSWX69W5Ug4vbOpr9l2w5gUTbEeB4dP6v5UeDnMXlx9wBgfKeevuI2e4Leq5$" TargetMode="External"/><Relationship Id="rId12" Type="http://schemas.openxmlformats.org/officeDocument/2006/relationships/hyperlink" Target="https://urldefense.com/v3/__http:/infusioncenter.org/wp-content/uploads/2021/03/How-To-Use-NICA-Locator_Providers_LinkedVersion.pdf__;!!HYmSToo!NKKaMrwAmSWX69W5Ug4vbOpr9l2w5gUTbEeB4dP6v5UeDnMXlx9wBgfKeevuI0ouQRli$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surveymax.dhhs.state.nc.us/TakeSurvey.aspx?SurveyID=therapeutics*__;Iw!!HYmSToo!NKKaMrwAmSWX69W5Ug4vbOpr9l2w5gUTbEeB4dP6v5UeDnMXlx9wBgfKeevuIxtcypmP$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phe.gov/emergency/events/COVID19/investigation-MCM/Documents/USG-COVID19-Tx-Playbook.pdf__;!!HYmSToo!NKKaMrwAmSWX69W5Ug4vbOpr9l2w5gUTbEeB4dP6v5UeDnMXlx9wBgfKeevuI4VAG9gn$" TargetMode="External"/><Relationship Id="rId11" Type="http://schemas.openxmlformats.org/officeDocument/2006/relationships/hyperlink" Target="https://urldefense.com/v3/__https:/covid.infusioncenter.org/__;!!HYmSToo!NKKaMrwAmSWX69W5Ug4vbOpr9l2w5gUTbEeB4dP6v5UeDnMXlx9wBgfKeevuI0U7gcbv$" TargetMode="External"/><Relationship Id="rId5" Type="http://schemas.openxmlformats.org/officeDocument/2006/relationships/hyperlink" Target="https://urldefense.com/v3/__https:/app.smartsheet.com/b/form/255d164d67834793b4ab549e160941e8__;!!HYmSToo!NKKaMrwAmSWX69W5Ug4vbOpr9l2w5gUTbEeB4dP6v5UeDnMXlx9wBgfKeevuIwhPsSUj$" TargetMode="External"/><Relationship Id="rId15" Type="http://schemas.openxmlformats.org/officeDocument/2006/relationships/hyperlink" Target="https://www.hrsa.gov/CovidUninsuredClaim" TargetMode="External"/><Relationship Id="rId10" Type="http://schemas.openxmlformats.org/officeDocument/2006/relationships/hyperlink" Target="https://urldefense.com/v3/__https:/www.fda.gov/drugs/drug-safety-and-availability/fda-authorizes-regen-cov-monoclonal-antibody-therapy-post-exposure-prophylaxis-prevention-covid-19__;!!HYmSToo!NKKaMrwAmSWX69W5Ug4vbOpr9l2w5gUTbEeB4dP6v5UeDnMXlx9wBgfKeevuI6Zgpr-9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regeneron.com/downloads/treatment-covid19-eua-fact-sheet-patient-spanish.pdf__;!!HYmSToo!NKKaMrwAmSWX69W5Ug4vbOpr9l2w5gUTbEeB4dP6v5UeDnMXlx9wBgfKeevuI7XblOrE$" TargetMode="External"/><Relationship Id="rId14" Type="http://schemas.openxmlformats.org/officeDocument/2006/relationships/hyperlink" Target="https://urldefense.com/v3/__https:/www.cms.gov/medicare/covid-19/monoclonal-antibody-covid-19-infusion__;!!HYmSToo!NKKaMrwAmSWX69W5Ug4vbOpr9l2w5gUTbEeB4dP6v5UeDnMXlx9wBgfKeevuI2b0XoQ8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Jenie Abbotts (NCCHCA)</dc:creator>
  <cp:keywords/>
  <dc:description/>
  <cp:lastModifiedBy>Jenie Abbotts (NCCHCA)</cp:lastModifiedBy>
  <cp:revision>1</cp:revision>
  <dcterms:created xsi:type="dcterms:W3CDTF">2021-08-23T12:23:00Z</dcterms:created>
  <dcterms:modified xsi:type="dcterms:W3CDTF">2021-08-23T12:24:00Z</dcterms:modified>
</cp:coreProperties>
</file>