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EF4E" w14:textId="77777777" w:rsidR="00937BC1" w:rsidRDefault="00631AFA">
      <w:pPr>
        <w:pStyle w:val="Title"/>
        <w:tabs>
          <w:tab w:val="left" w:pos="4725"/>
        </w:tabs>
        <w:spacing w:before="120" w:after="0"/>
        <w:ind w:left="-360"/>
        <w:jc w:val="center"/>
        <w:rPr>
          <w:rFonts w:ascii="Calibri" w:eastAsia="Calibri" w:hAnsi="Calibri" w:cs="Calibri"/>
          <w:color w:val="006599"/>
          <w:sz w:val="36"/>
          <w:szCs w:val="36"/>
        </w:rPr>
      </w:pPr>
      <w:r>
        <w:rPr>
          <w:rFonts w:ascii="Calibri" w:eastAsia="Calibri" w:hAnsi="Calibri" w:cs="Calibri"/>
          <w:color w:val="006599"/>
          <w:sz w:val="36"/>
          <w:szCs w:val="36"/>
        </w:rPr>
        <w:t>Uniform Data System (UDS)</w:t>
      </w:r>
    </w:p>
    <w:p w14:paraId="46AE298D" w14:textId="77777777" w:rsidR="00937BC1" w:rsidRDefault="00631AFA">
      <w:pPr>
        <w:pStyle w:val="Title"/>
        <w:tabs>
          <w:tab w:val="left" w:pos="4725"/>
        </w:tabs>
        <w:spacing w:before="0" w:after="0"/>
        <w:ind w:left="-360"/>
        <w:jc w:val="center"/>
        <w:rPr>
          <w:rFonts w:ascii="Calibri" w:eastAsia="Calibri" w:hAnsi="Calibri" w:cs="Calibri"/>
          <w:color w:val="006599"/>
          <w:sz w:val="36"/>
          <w:szCs w:val="36"/>
        </w:rPr>
      </w:pPr>
      <w:r>
        <w:rPr>
          <w:rFonts w:ascii="Calibri" w:eastAsia="Calibri" w:hAnsi="Calibri" w:cs="Calibri"/>
          <w:color w:val="006599"/>
          <w:sz w:val="36"/>
          <w:szCs w:val="36"/>
        </w:rPr>
        <w:t>Calendar Year 2021 Reporting</w:t>
      </w:r>
    </w:p>
    <w:p w14:paraId="227CD221" w14:textId="77777777" w:rsidR="00937BC1" w:rsidRDefault="00631AFA">
      <w:pPr>
        <w:pStyle w:val="Title"/>
        <w:tabs>
          <w:tab w:val="left" w:pos="4725"/>
        </w:tabs>
        <w:spacing w:before="0" w:after="120"/>
        <w:ind w:left="-360"/>
        <w:jc w:val="center"/>
        <w:rPr>
          <w:rFonts w:ascii="Calibri" w:eastAsia="Calibri" w:hAnsi="Calibri" w:cs="Calibri"/>
          <w:color w:val="006599"/>
          <w:sz w:val="36"/>
          <w:szCs w:val="36"/>
        </w:rPr>
      </w:pPr>
      <w:r>
        <w:rPr>
          <w:rFonts w:ascii="Calibri" w:eastAsia="Calibri" w:hAnsi="Calibri" w:cs="Calibri"/>
          <w:color w:val="006599"/>
          <w:sz w:val="36"/>
          <w:szCs w:val="36"/>
        </w:rPr>
        <w:t>Annual Training Contents</w:t>
      </w:r>
    </w:p>
    <w:p w14:paraId="2995FB01" w14:textId="77777777" w:rsidR="00937BC1" w:rsidRDefault="00937BC1">
      <w:pPr>
        <w:pBdr>
          <w:top w:val="nil"/>
          <w:left w:val="nil"/>
          <w:bottom w:val="nil"/>
          <w:right w:val="nil"/>
          <w:between w:val="nil"/>
        </w:pBdr>
        <w:spacing w:after="0" w:line="240" w:lineRule="auto"/>
        <w:rPr>
          <w:rFonts w:ascii="Calibri" w:hAnsi="Calibri" w:cs="Calibri"/>
          <w:b/>
          <w:color w:val="006599"/>
        </w:rPr>
      </w:pPr>
    </w:p>
    <w:p w14:paraId="79CB25FC" w14:textId="74CF2C23" w:rsidR="00937BC1" w:rsidRDefault="00631AFA">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The materials for calendar year 2021 are available as links </w:t>
      </w:r>
      <w:r w:rsidR="00C15D41">
        <w:rPr>
          <w:rFonts w:ascii="Calibri" w:hAnsi="Calibri" w:cs="Calibri"/>
          <w:color w:val="000000"/>
        </w:rPr>
        <w:t xml:space="preserve">on the NCCHCA website </w:t>
      </w:r>
      <w:r>
        <w:rPr>
          <w:rFonts w:ascii="Calibri" w:hAnsi="Calibri" w:cs="Calibri"/>
          <w:color w:val="000000"/>
        </w:rPr>
        <w:t xml:space="preserve">organized by category as shown below. Individual files are available on the Health Resources &amp; Services Administration, Health Center Program, </w:t>
      </w:r>
      <w:hyperlink r:id="rId8">
        <w:r>
          <w:rPr>
            <w:rFonts w:ascii="Calibri" w:hAnsi="Calibri" w:cs="Calibri"/>
            <w:color w:val="0000FF"/>
            <w:u w:val="single"/>
          </w:rPr>
          <w:t>Uniform Data System (UDS) Resources</w:t>
        </w:r>
      </w:hyperlink>
      <w:r>
        <w:rPr>
          <w:rFonts w:ascii="Calibri" w:hAnsi="Calibri" w:cs="Calibri"/>
          <w:color w:val="000000"/>
        </w:rPr>
        <w:t xml:space="preserve"> webpage, and can be accessed at any time using the links below. To ease access to materials mentioned throughout the training, participants can refer back to this page to obtain direct access links, when available. Items with an asterisk (</w:t>
      </w:r>
      <w:r>
        <w:rPr>
          <w:rFonts w:ascii="Calibri" w:hAnsi="Calibri" w:cs="Calibri"/>
        </w:rPr>
        <w:t xml:space="preserve">*) </w:t>
      </w:r>
      <w:r>
        <w:rPr>
          <w:rFonts w:ascii="Calibri" w:hAnsi="Calibri" w:cs="Calibri"/>
          <w:color w:val="000000"/>
        </w:rPr>
        <w:t xml:space="preserve">below are </w:t>
      </w:r>
      <w:r w:rsidR="00C15D41">
        <w:rPr>
          <w:rFonts w:ascii="Calibri" w:hAnsi="Calibri" w:cs="Calibri"/>
          <w:color w:val="000000"/>
        </w:rPr>
        <w:t>the same as those on the NCCHCA webpage;</w:t>
      </w:r>
      <w:r>
        <w:rPr>
          <w:rFonts w:ascii="Calibri" w:hAnsi="Calibri" w:cs="Calibri"/>
        </w:rPr>
        <w:t xml:space="preserve"> these items are in numbered order corresponding with the order they are listed here.</w:t>
      </w:r>
    </w:p>
    <w:p w14:paraId="017D1F79" w14:textId="77777777" w:rsidR="00937BC1" w:rsidRDefault="00937BC1">
      <w:pPr>
        <w:pBdr>
          <w:top w:val="nil"/>
          <w:left w:val="nil"/>
          <w:bottom w:val="nil"/>
          <w:right w:val="nil"/>
          <w:between w:val="nil"/>
        </w:pBdr>
        <w:spacing w:after="0" w:line="240" w:lineRule="auto"/>
        <w:rPr>
          <w:rFonts w:ascii="Calibri" w:hAnsi="Calibri" w:cs="Calibri"/>
          <w:b/>
          <w:color w:val="006599"/>
          <w:sz w:val="28"/>
          <w:szCs w:val="28"/>
        </w:rPr>
      </w:pPr>
    </w:p>
    <w:p w14:paraId="382D203A" w14:textId="77777777" w:rsidR="00937BC1" w:rsidRDefault="00631AFA">
      <w:pPr>
        <w:pBdr>
          <w:top w:val="nil"/>
          <w:left w:val="nil"/>
          <w:bottom w:val="nil"/>
          <w:right w:val="nil"/>
          <w:between w:val="nil"/>
        </w:pBdr>
        <w:spacing w:after="0" w:line="240" w:lineRule="auto"/>
        <w:rPr>
          <w:rFonts w:ascii="Calibri" w:hAnsi="Calibri" w:cs="Calibri"/>
        </w:rPr>
      </w:pPr>
      <w:r>
        <w:rPr>
          <w:rFonts w:ascii="Calibri" w:hAnsi="Calibri" w:cs="Calibri"/>
          <w:b/>
          <w:color w:val="006599"/>
          <w:sz w:val="28"/>
          <w:szCs w:val="28"/>
        </w:rPr>
        <w:t>Logistics</w:t>
      </w:r>
    </w:p>
    <w:p w14:paraId="363A1E8C" w14:textId="77777777" w:rsidR="00937BC1" w:rsidRPr="00D04CC8" w:rsidRDefault="00631AFA">
      <w:pPr>
        <w:numPr>
          <w:ilvl w:val="0"/>
          <w:numId w:val="1"/>
        </w:numPr>
        <w:spacing w:after="0"/>
        <w:rPr>
          <w:rFonts w:ascii="Calibri" w:hAnsi="Calibri" w:cs="Calibri"/>
          <w:i/>
        </w:rPr>
      </w:pPr>
      <w:r>
        <w:rPr>
          <w:rFonts w:ascii="Calibri" w:hAnsi="Calibri" w:cs="Calibri"/>
        </w:rPr>
        <w:t xml:space="preserve">UDS Acronyms Used*:  </w:t>
      </w:r>
      <w:r w:rsidRPr="00D04CC8">
        <w:rPr>
          <w:rFonts w:ascii="Calibri" w:hAnsi="Calibri" w:cs="Calibri"/>
          <w:i/>
        </w:rPr>
        <w:t>A more comprehensive list is available in UDS Manual, Appendix I</w:t>
      </w:r>
      <w:r w:rsidR="00D04CC8">
        <w:rPr>
          <w:rFonts w:ascii="Calibri" w:hAnsi="Calibri" w:cs="Calibri"/>
          <w:i/>
        </w:rPr>
        <w:t>.</w:t>
      </w:r>
    </w:p>
    <w:p w14:paraId="6EB2BF1E" w14:textId="77777777" w:rsidR="00937BC1" w:rsidRDefault="00631AFA">
      <w:pPr>
        <w:numPr>
          <w:ilvl w:val="0"/>
          <w:numId w:val="1"/>
        </w:numPr>
        <w:spacing w:after="0"/>
        <w:rPr>
          <w:rFonts w:ascii="Calibri" w:hAnsi="Calibri" w:cs="Calibri"/>
        </w:rPr>
      </w:pPr>
      <w:r>
        <w:rPr>
          <w:rFonts w:ascii="Calibri" w:hAnsi="Calibri" w:cs="Calibri"/>
        </w:rPr>
        <w:t>2021 Training Agenda*</w:t>
      </w:r>
    </w:p>
    <w:p w14:paraId="5A5ACF11" w14:textId="77777777" w:rsidR="00937BC1" w:rsidRDefault="00C15D41">
      <w:pPr>
        <w:numPr>
          <w:ilvl w:val="0"/>
          <w:numId w:val="1"/>
        </w:numPr>
        <w:spacing w:after="0"/>
        <w:rPr>
          <w:rFonts w:ascii="Calibri" w:hAnsi="Calibri" w:cs="Calibri"/>
        </w:rPr>
      </w:pPr>
      <w:hyperlink r:id="rId9">
        <w:r w:rsidR="00631AFA">
          <w:rPr>
            <w:rFonts w:ascii="Calibri" w:hAnsi="Calibri" w:cs="Calibri"/>
            <w:color w:val="1155CC"/>
            <w:u w:val="single"/>
          </w:rPr>
          <w:t>2021 UDS Training Evaluation Link</w:t>
        </w:r>
      </w:hyperlink>
      <w:r w:rsidR="00631AFA">
        <w:rPr>
          <w:rFonts w:ascii="Calibri" w:hAnsi="Calibri" w:cs="Calibri"/>
        </w:rPr>
        <w:t>: Instructions and link are also in Training ZIP folder*</w:t>
      </w:r>
    </w:p>
    <w:p w14:paraId="68C6B20A" w14:textId="77777777" w:rsidR="00937BC1" w:rsidRDefault="00937BC1">
      <w:pPr>
        <w:pBdr>
          <w:top w:val="nil"/>
          <w:left w:val="nil"/>
          <w:bottom w:val="nil"/>
          <w:right w:val="nil"/>
          <w:between w:val="nil"/>
        </w:pBdr>
        <w:spacing w:after="0" w:line="240" w:lineRule="auto"/>
        <w:rPr>
          <w:rFonts w:ascii="Calibri" w:hAnsi="Calibri" w:cs="Calibri"/>
          <w:b/>
          <w:color w:val="006599"/>
          <w:sz w:val="28"/>
          <w:szCs w:val="28"/>
        </w:rPr>
      </w:pPr>
    </w:p>
    <w:p w14:paraId="29A914EF" w14:textId="77777777" w:rsidR="00937BC1" w:rsidRDefault="00631AFA">
      <w:pPr>
        <w:pBdr>
          <w:top w:val="nil"/>
          <w:left w:val="nil"/>
          <w:bottom w:val="nil"/>
          <w:right w:val="nil"/>
          <w:between w:val="nil"/>
        </w:pBdr>
        <w:spacing w:after="0" w:line="240" w:lineRule="auto"/>
        <w:rPr>
          <w:rFonts w:ascii="Calibri" w:hAnsi="Calibri" w:cs="Calibri"/>
          <w:color w:val="000000"/>
          <w:sz w:val="32"/>
          <w:szCs w:val="32"/>
        </w:rPr>
      </w:pPr>
      <w:r>
        <w:rPr>
          <w:rFonts w:ascii="Calibri" w:hAnsi="Calibri" w:cs="Calibri"/>
          <w:b/>
          <w:color w:val="006599"/>
          <w:sz w:val="28"/>
          <w:szCs w:val="28"/>
        </w:rPr>
        <w:t>Training – Chapters by Section</w:t>
      </w:r>
    </w:p>
    <w:p w14:paraId="5694CC7F" w14:textId="77777777" w:rsidR="00937BC1" w:rsidRDefault="00631AFA">
      <w:pPr>
        <w:numPr>
          <w:ilvl w:val="0"/>
          <w:numId w:val="5"/>
        </w:numPr>
        <w:spacing w:after="0"/>
        <w:rPr>
          <w:rFonts w:ascii="Calibri" w:hAnsi="Calibri" w:cs="Calibri"/>
        </w:rPr>
      </w:pPr>
      <w:r>
        <w:rPr>
          <w:rFonts w:ascii="Calibri" w:hAnsi="Calibri" w:cs="Calibri"/>
        </w:rPr>
        <w:t xml:space="preserve"> 2021 UDS Annual Training Presentation Slide Deck*, which includes:</w:t>
      </w:r>
    </w:p>
    <w:p w14:paraId="2575FC67" w14:textId="77777777" w:rsidR="00937BC1" w:rsidRDefault="00631AFA">
      <w:pPr>
        <w:numPr>
          <w:ilvl w:val="1"/>
          <w:numId w:val="5"/>
        </w:numPr>
        <w:spacing w:after="0"/>
        <w:rPr>
          <w:rFonts w:ascii="Calibri" w:hAnsi="Calibri" w:cs="Calibri"/>
        </w:rPr>
      </w:pPr>
      <w:r>
        <w:rPr>
          <w:rFonts w:ascii="Calibri" w:hAnsi="Calibri" w:cs="Calibri"/>
        </w:rPr>
        <w:t>Overview: Who, What, Where, When, and Why of the UDS (Slides 1-13)</w:t>
      </w:r>
    </w:p>
    <w:p w14:paraId="3A60D435" w14:textId="77777777" w:rsidR="00937BC1" w:rsidRDefault="00631AFA">
      <w:pPr>
        <w:numPr>
          <w:ilvl w:val="1"/>
          <w:numId w:val="5"/>
        </w:numPr>
        <w:spacing w:after="0"/>
        <w:rPr>
          <w:rFonts w:ascii="Calibri" w:hAnsi="Calibri" w:cs="Calibri"/>
        </w:rPr>
      </w:pPr>
      <w:r>
        <w:rPr>
          <w:rFonts w:ascii="Calibri" w:hAnsi="Calibri" w:cs="Calibri"/>
        </w:rPr>
        <w:t>Patient Profile: ZIP Code Table, Tables 3A, 3B, and 4 (Slides 14-28)</w:t>
      </w:r>
    </w:p>
    <w:p w14:paraId="2FB9D876" w14:textId="77777777" w:rsidR="00937BC1" w:rsidRDefault="00631AFA">
      <w:pPr>
        <w:numPr>
          <w:ilvl w:val="1"/>
          <w:numId w:val="5"/>
        </w:numPr>
        <w:spacing w:after="0"/>
        <w:rPr>
          <w:rFonts w:ascii="Calibri" w:hAnsi="Calibri" w:cs="Calibri"/>
        </w:rPr>
      </w:pPr>
      <w:r>
        <w:rPr>
          <w:rFonts w:ascii="Calibri" w:hAnsi="Calibri" w:cs="Calibri"/>
        </w:rPr>
        <w:t>Services and Utilization: Tables 5 and 6A (Slides 29-57)</w:t>
      </w:r>
    </w:p>
    <w:p w14:paraId="07B1ED3B" w14:textId="77777777" w:rsidR="00937BC1" w:rsidRDefault="00631AFA">
      <w:pPr>
        <w:numPr>
          <w:ilvl w:val="1"/>
          <w:numId w:val="5"/>
        </w:numPr>
        <w:spacing w:after="0"/>
        <w:rPr>
          <w:rFonts w:ascii="Calibri" w:hAnsi="Calibri" w:cs="Calibri"/>
        </w:rPr>
      </w:pPr>
      <w:r>
        <w:rPr>
          <w:rFonts w:ascii="Calibri" w:hAnsi="Calibri" w:cs="Calibri"/>
        </w:rPr>
        <w:t>Clinical Quality Measures: Tables 6B and 7 (Slides 58-89)</w:t>
      </w:r>
    </w:p>
    <w:p w14:paraId="4FE6930D" w14:textId="77777777" w:rsidR="00937BC1" w:rsidRDefault="00631AFA">
      <w:pPr>
        <w:numPr>
          <w:ilvl w:val="1"/>
          <w:numId w:val="5"/>
        </w:numPr>
        <w:spacing w:after="0"/>
        <w:rPr>
          <w:rFonts w:ascii="Calibri" w:hAnsi="Calibri" w:cs="Calibri"/>
        </w:rPr>
      </w:pPr>
      <w:r>
        <w:rPr>
          <w:rFonts w:ascii="Calibri" w:hAnsi="Calibri" w:cs="Calibri"/>
        </w:rPr>
        <w:t>Financials: Tables 8A, 9D, and 9E (Slides 90-121)</w:t>
      </w:r>
    </w:p>
    <w:p w14:paraId="5BA4306A" w14:textId="77777777" w:rsidR="00937BC1" w:rsidRDefault="00631AFA">
      <w:pPr>
        <w:numPr>
          <w:ilvl w:val="1"/>
          <w:numId w:val="5"/>
        </w:numPr>
        <w:spacing w:after="0"/>
        <w:rPr>
          <w:rFonts w:ascii="Calibri" w:hAnsi="Calibri" w:cs="Calibri"/>
        </w:rPr>
      </w:pPr>
      <w:r>
        <w:rPr>
          <w:rFonts w:ascii="Calibri" w:hAnsi="Calibri" w:cs="Calibri"/>
        </w:rPr>
        <w:t>Other Forms: Health Information Technology, Other Data Elements, and Workforce (Slides 122-127)</w:t>
      </w:r>
    </w:p>
    <w:p w14:paraId="44E2326B" w14:textId="77777777" w:rsidR="00937BC1" w:rsidRDefault="00631AFA">
      <w:pPr>
        <w:numPr>
          <w:ilvl w:val="1"/>
          <w:numId w:val="5"/>
        </w:numPr>
        <w:spacing w:after="0"/>
        <w:rPr>
          <w:rFonts w:ascii="Calibri" w:hAnsi="Calibri" w:cs="Calibri"/>
        </w:rPr>
      </w:pPr>
      <w:r>
        <w:rPr>
          <w:rFonts w:ascii="Calibri" w:hAnsi="Calibri" w:cs="Calibri"/>
        </w:rPr>
        <w:t>Tips: Resources and Tips for Success (Slides 128-138)</w:t>
      </w:r>
    </w:p>
    <w:p w14:paraId="34B4F988" w14:textId="77777777" w:rsidR="00D04CC8" w:rsidRPr="00D04CC8" w:rsidRDefault="00D04CC8" w:rsidP="00D04CC8">
      <w:pPr>
        <w:numPr>
          <w:ilvl w:val="0"/>
          <w:numId w:val="5"/>
        </w:numPr>
        <w:spacing w:after="0"/>
        <w:rPr>
          <w:rFonts w:ascii="Calibri" w:hAnsi="Calibri" w:cs="Calibri"/>
          <w:i/>
        </w:rPr>
      </w:pPr>
      <w:r w:rsidRPr="00D04CC8">
        <w:rPr>
          <w:rFonts w:ascii="Calibri" w:hAnsi="Calibri" w:cs="Calibri"/>
          <w:i/>
        </w:rPr>
        <w:t>Two PDFs of slides are provided in the ZIP folder of supplemental materials: one with full page slides (4), one with three slides to a page, with space to take notes (4a).</w:t>
      </w:r>
    </w:p>
    <w:p w14:paraId="1DD594E6" w14:textId="77777777" w:rsidR="00937BC1" w:rsidRDefault="00937BC1">
      <w:pPr>
        <w:pBdr>
          <w:top w:val="nil"/>
          <w:left w:val="nil"/>
          <w:bottom w:val="nil"/>
          <w:right w:val="nil"/>
          <w:between w:val="nil"/>
        </w:pBdr>
        <w:spacing w:after="0" w:line="240" w:lineRule="auto"/>
        <w:rPr>
          <w:rFonts w:ascii="Calibri" w:hAnsi="Calibri" w:cs="Calibri"/>
          <w:b/>
          <w:color w:val="006599"/>
          <w:sz w:val="28"/>
          <w:szCs w:val="28"/>
        </w:rPr>
      </w:pPr>
    </w:p>
    <w:p w14:paraId="25BE01C4" w14:textId="77777777" w:rsidR="00937BC1" w:rsidRDefault="00631AFA">
      <w:pPr>
        <w:pBdr>
          <w:top w:val="nil"/>
          <w:left w:val="nil"/>
          <w:bottom w:val="nil"/>
          <w:right w:val="nil"/>
          <w:between w:val="nil"/>
        </w:pBdr>
        <w:spacing w:after="0" w:line="240" w:lineRule="auto"/>
        <w:rPr>
          <w:rFonts w:ascii="Calibri" w:hAnsi="Calibri" w:cs="Calibri"/>
          <w:color w:val="000000"/>
          <w:sz w:val="32"/>
          <w:szCs w:val="32"/>
        </w:rPr>
      </w:pPr>
      <w:r>
        <w:rPr>
          <w:rFonts w:ascii="Calibri" w:hAnsi="Calibri" w:cs="Calibri"/>
          <w:b/>
          <w:color w:val="006599"/>
          <w:sz w:val="28"/>
          <w:szCs w:val="28"/>
        </w:rPr>
        <w:t>Reporting Guidance Resource Files</w:t>
      </w:r>
    </w:p>
    <w:p w14:paraId="05567740" w14:textId="77777777" w:rsidR="00937BC1" w:rsidRDefault="00631AFA">
      <w:pPr>
        <w:rPr>
          <w:rFonts w:ascii="Calibri" w:hAnsi="Calibri" w:cs="Calibri"/>
        </w:rPr>
      </w:pPr>
      <w:r>
        <w:rPr>
          <w:rFonts w:ascii="Calibri" w:hAnsi="Calibri" w:cs="Calibri"/>
        </w:rPr>
        <w:t>Reporting Requirements</w:t>
      </w:r>
    </w:p>
    <w:p w14:paraId="61298AD2" w14:textId="77777777" w:rsidR="00937BC1" w:rsidRDefault="00C15D41">
      <w:pPr>
        <w:numPr>
          <w:ilvl w:val="0"/>
          <w:numId w:val="3"/>
        </w:numPr>
        <w:spacing w:after="0"/>
        <w:ind w:left="720"/>
        <w:rPr>
          <w:rFonts w:ascii="Calibri" w:hAnsi="Calibri" w:cs="Calibri"/>
        </w:rPr>
      </w:pPr>
      <w:hyperlink r:id="rId10">
        <w:r w:rsidR="00631AFA">
          <w:rPr>
            <w:rFonts w:ascii="Calibri" w:hAnsi="Calibri" w:cs="Calibri"/>
            <w:color w:val="1155CC"/>
            <w:u w:val="single"/>
          </w:rPr>
          <w:t>2021 UDS Manual</w:t>
        </w:r>
      </w:hyperlink>
      <w:r w:rsidR="00631AFA">
        <w:rPr>
          <w:rFonts w:ascii="Calibri" w:hAnsi="Calibri" w:cs="Calibri"/>
        </w:rPr>
        <w:t>*</w:t>
      </w:r>
    </w:p>
    <w:p w14:paraId="11BF7973" w14:textId="77777777" w:rsidR="00937BC1" w:rsidRDefault="00C15D41">
      <w:pPr>
        <w:numPr>
          <w:ilvl w:val="0"/>
          <w:numId w:val="3"/>
        </w:numPr>
        <w:spacing w:after="0"/>
        <w:ind w:left="720"/>
        <w:rPr>
          <w:rFonts w:ascii="Calibri" w:hAnsi="Calibri" w:cs="Calibri"/>
        </w:rPr>
      </w:pPr>
      <w:hyperlink r:id="rId11">
        <w:r w:rsidR="00631AFA">
          <w:rPr>
            <w:rFonts w:ascii="Calibri" w:hAnsi="Calibri" w:cs="Calibri"/>
            <w:color w:val="1155CC"/>
            <w:u w:val="single"/>
          </w:rPr>
          <w:t>2021 UDS Tables (PDF)</w:t>
        </w:r>
      </w:hyperlink>
      <w:r w:rsidR="00631AFA">
        <w:rPr>
          <w:rFonts w:ascii="Calibri" w:hAnsi="Calibri" w:cs="Calibri"/>
        </w:rPr>
        <w:t>*</w:t>
      </w:r>
    </w:p>
    <w:p w14:paraId="79A2FE7A" w14:textId="77777777" w:rsidR="00937BC1" w:rsidRPr="00D04CC8" w:rsidRDefault="00C15D41">
      <w:pPr>
        <w:numPr>
          <w:ilvl w:val="0"/>
          <w:numId w:val="3"/>
        </w:numPr>
        <w:ind w:left="720"/>
        <w:rPr>
          <w:rFonts w:ascii="Calibri" w:hAnsi="Calibri" w:cs="Calibri"/>
          <w:i/>
        </w:rPr>
      </w:pPr>
      <w:hyperlink r:id="rId12">
        <w:r w:rsidR="00631AFA">
          <w:rPr>
            <w:rFonts w:ascii="Calibri" w:hAnsi="Calibri" w:cs="Calibri"/>
            <w:color w:val="1155CC"/>
            <w:u w:val="single"/>
          </w:rPr>
          <w:t>Health Center Changes and Uniform Data System (UDS) Reporting: Frequently Asked Questions (FAQ)</w:t>
        </w:r>
      </w:hyperlink>
      <w:r w:rsidR="00631AFA">
        <w:rPr>
          <w:rFonts w:ascii="Calibri" w:hAnsi="Calibri" w:cs="Calibri"/>
        </w:rPr>
        <w:t xml:space="preserve">: </w:t>
      </w:r>
      <w:r w:rsidR="00631AFA" w:rsidRPr="00D04CC8">
        <w:rPr>
          <w:rFonts w:ascii="Calibri" w:hAnsi="Calibri" w:cs="Calibri"/>
          <w:i/>
        </w:rPr>
        <w:t>This addresses questions about health center changes such as a new health center award or designation</w:t>
      </w:r>
      <w:r w:rsidR="00D04CC8" w:rsidRPr="00D04CC8">
        <w:rPr>
          <w:rFonts w:ascii="Calibri" w:hAnsi="Calibri" w:cs="Calibri"/>
          <w:i/>
        </w:rPr>
        <w:t>, new</w:t>
      </w:r>
      <w:r w:rsidR="00631AFA" w:rsidRPr="00D04CC8">
        <w:rPr>
          <w:rFonts w:ascii="Calibri" w:hAnsi="Calibri" w:cs="Calibri"/>
          <w:i/>
        </w:rPr>
        <w:t xml:space="preserve"> services or sites, or health center organizational changes.</w:t>
      </w:r>
    </w:p>
    <w:p w14:paraId="7D097605" w14:textId="77777777" w:rsidR="00937BC1" w:rsidRDefault="00631AFA">
      <w:pPr>
        <w:rPr>
          <w:rFonts w:ascii="Calibri" w:hAnsi="Calibri" w:cs="Calibri"/>
        </w:rPr>
      </w:pPr>
      <w:r>
        <w:rPr>
          <w:rFonts w:ascii="Calibri" w:hAnsi="Calibri" w:cs="Calibri"/>
        </w:rPr>
        <w:t>Staffing and Utilization</w:t>
      </w:r>
    </w:p>
    <w:p w14:paraId="6F0186A3" w14:textId="77777777" w:rsidR="00937BC1" w:rsidRDefault="00C15D41">
      <w:pPr>
        <w:numPr>
          <w:ilvl w:val="0"/>
          <w:numId w:val="4"/>
        </w:numPr>
        <w:spacing w:after="0"/>
        <w:ind w:left="720"/>
        <w:rPr>
          <w:rFonts w:ascii="Calibri" w:hAnsi="Calibri" w:cs="Calibri"/>
        </w:rPr>
      </w:pPr>
      <w:hyperlink r:id="rId13">
        <w:r w:rsidR="00631AFA">
          <w:rPr>
            <w:rFonts w:ascii="Calibri" w:hAnsi="Calibri" w:cs="Calibri"/>
            <w:color w:val="1155CC"/>
            <w:u w:val="single"/>
          </w:rPr>
          <w:t>Counting UDS Visits Guidance</w:t>
        </w:r>
      </w:hyperlink>
    </w:p>
    <w:p w14:paraId="28971FEA" w14:textId="77777777" w:rsidR="00937BC1" w:rsidRDefault="00C15D41">
      <w:pPr>
        <w:numPr>
          <w:ilvl w:val="0"/>
          <w:numId w:val="4"/>
        </w:numPr>
        <w:spacing w:after="0"/>
        <w:ind w:left="720"/>
        <w:rPr>
          <w:rFonts w:ascii="Calibri" w:hAnsi="Calibri" w:cs="Calibri"/>
        </w:rPr>
      </w:pPr>
      <w:hyperlink r:id="rId14">
        <w:r w:rsidR="00631AFA">
          <w:rPr>
            <w:rFonts w:ascii="Calibri" w:hAnsi="Calibri" w:cs="Calibri"/>
            <w:color w:val="1155CC"/>
            <w:u w:val="single"/>
          </w:rPr>
          <w:t>Nurse Visit Guidance</w:t>
        </w:r>
      </w:hyperlink>
    </w:p>
    <w:p w14:paraId="48B021DC" w14:textId="77777777" w:rsidR="00937BC1" w:rsidRDefault="00C15D41">
      <w:pPr>
        <w:numPr>
          <w:ilvl w:val="0"/>
          <w:numId w:val="4"/>
        </w:numPr>
        <w:spacing w:after="0"/>
        <w:ind w:left="720"/>
        <w:rPr>
          <w:rFonts w:ascii="Calibri" w:hAnsi="Calibri" w:cs="Calibri"/>
        </w:rPr>
      </w:pPr>
      <w:hyperlink r:id="rId15">
        <w:r w:rsidR="00631AFA">
          <w:rPr>
            <w:rFonts w:ascii="Calibri" w:hAnsi="Calibri" w:cs="Calibri"/>
            <w:color w:val="1155CC"/>
            <w:u w:val="single"/>
          </w:rPr>
          <w:t>Virtual Visits Guide</w:t>
        </w:r>
      </w:hyperlink>
    </w:p>
    <w:p w14:paraId="280FC433" w14:textId="77777777" w:rsidR="00937BC1" w:rsidRDefault="00C15D41">
      <w:pPr>
        <w:numPr>
          <w:ilvl w:val="0"/>
          <w:numId w:val="4"/>
        </w:numPr>
        <w:ind w:left="720"/>
        <w:rPr>
          <w:rFonts w:ascii="Calibri" w:hAnsi="Calibri" w:cs="Calibri"/>
        </w:rPr>
      </w:pPr>
      <w:hyperlink r:id="rId16">
        <w:r w:rsidR="00631AFA">
          <w:rPr>
            <w:rFonts w:ascii="Calibri" w:hAnsi="Calibri" w:cs="Calibri"/>
            <w:color w:val="1155CC"/>
            <w:u w:val="single"/>
          </w:rPr>
          <w:t>Mental Health and Substance Use Disorder Addendum</w:t>
        </w:r>
      </w:hyperlink>
    </w:p>
    <w:p w14:paraId="7FE692BE" w14:textId="77777777" w:rsidR="00937BC1" w:rsidRDefault="00631AFA">
      <w:pPr>
        <w:rPr>
          <w:rFonts w:ascii="Calibri" w:hAnsi="Calibri" w:cs="Calibri"/>
        </w:rPr>
      </w:pPr>
      <w:r>
        <w:rPr>
          <w:rFonts w:ascii="Calibri" w:hAnsi="Calibri" w:cs="Calibri"/>
        </w:rPr>
        <w:t>Clinical Care</w:t>
      </w:r>
    </w:p>
    <w:p w14:paraId="4B988865" w14:textId="77777777" w:rsidR="00937BC1" w:rsidRDefault="00C15D41">
      <w:pPr>
        <w:numPr>
          <w:ilvl w:val="0"/>
          <w:numId w:val="2"/>
        </w:numPr>
        <w:spacing w:after="0"/>
        <w:ind w:left="720"/>
        <w:rPr>
          <w:rFonts w:ascii="Calibri" w:hAnsi="Calibri" w:cs="Calibri"/>
        </w:rPr>
      </w:pPr>
      <w:hyperlink r:id="rId17">
        <w:r w:rsidR="00631AFA">
          <w:rPr>
            <w:rFonts w:ascii="Calibri" w:hAnsi="Calibri" w:cs="Calibri"/>
            <w:color w:val="1155CC"/>
            <w:u w:val="single"/>
          </w:rPr>
          <w:t>Table 6A Code Changes</w:t>
        </w:r>
      </w:hyperlink>
    </w:p>
    <w:p w14:paraId="35B570D2" w14:textId="77777777" w:rsidR="00937BC1" w:rsidRDefault="00C15D41">
      <w:pPr>
        <w:numPr>
          <w:ilvl w:val="0"/>
          <w:numId w:val="2"/>
        </w:numPr>
        <w:spacing w:after="0"/>
        <w:ind w:left="720"/>
        <w:rPr>
          <w:rFonts w:ascii="Calibri" w:hAnsi="Calibri" w:cs="Calibri"/>
        </w:rPr>
      </w:pPr>
      <w:hyperlink r:id="rId18">
        <w:r w:rsidR="00631AFA">
          <w:rPr>
            <w:rFonts w:ascii="Calibri" w:hAnsi="Calibri" w:cs="Calibri"/>
            <w:color w:val="1155CC"/>
            <w:u w:val="single"/>
          </w:rPr>
          <w:t>2021 Clinical Measures Descriptions Handout</w:t>
        </w:r>
      </w:hyperlink>
    </w:p>
    <w:p w14:paraId="0CB5F1DF" w14:textId="77777777" w:rsidR="00937BC1" w:rsidRDefault="00C15D41">
      <w:pPr>
        <w:numPr>
          <w:ilvl w:val="0"/>
          <w:numId w:val="2"/>
        </w:numPr>
        <w:spacing w:after="0"/>
        <w:ind w:left="720"/>
        <w:rPr>
          <w:rFonts w:ascii="Calibri" w:hAnsi="Calibri" w:cs="Calibri"/>
        </w:rPr>
      </w:pPr>
      <w:hyperlink r:id="rId19">
        <w:r w:rsidR="00631AFA">
          <w:rPr>
            <w:rFonts w:ascii="Calibri" w:hAnsi="Calibri" w:cs="Calibri"/>
            <w:color w:val="1155CC"/>
            <w:u w:val="single"/>
          </w:rPr>
          <w:t>Telehealth Impact on Clinical Measures Reporting</w:t>
        </w:r>
      </w:hyperlink>
    </w:p>
    <w:p w14:paraId="3B0CB9B9" w14:textId="77777777" w:rsidR="00937BC1" w:rsidRDefault="00C15D41">
      <w:pPr>
        <w:numPr>
          <w:ilvl w:val="0"/>
          <w:numId w:val="2"/>
        </w:numPr>
        <w:spacing w:after="0"/>
        <w:ind w:left="720"/>
        <w:rPr>
          <w:rFonts w:ascii="Calibri" w:hAnsi="Calibri" w:cs="Calibri"/>
        </w:rPr>
      </w:pPr>
      <w:hyperlink r:id="rId20">
        <w:r w:rsidR="00631AFA">
          <w:rPr>
            <w:rFonts w:ascii="Calibri" w:hAnsi="Calibri" w:cs="Calibri"/>
            <w:color w:val="1155CC"/>
            <w:u w:val="single"/>
          </w:rPr>
          <w:t>UDS Clinical Measures Exclusions and Exceptions</w:t>
        </w:r>
      </w:hyperlink>
    </w:p>
    <w:p w14:paraId="723DD382" w14:textId="77777777" w:rsidR="00937BC1" w:rsidRDefault="00C15D41">
      <w:pPr>
        <w:numPr>
          <w:ilvl w:val="0"/>
          <w:numId w:val="2"/>
        </w:numPr>
        <w:ind w:left="720"/>
        <w:rPr>
          <w:rFonts w:ascii="Calibri" w:hAnsi="Calibri" w:cs="Calibri"/>
        </w:rPr>
      </w:pPr>
      <w:hyperlink r:id="rId21">
        <w:r w:rsidR="00631AFA">
          <w:rPr>
            <w:rFonts w:ascii="Calibri" w:hAnsi="Calibri" w:cs="Calibri"/>
            <w:color w:val="1155CC"/>
            <w:u w:val="single"/>
          </w:rPr>
          <w:t xml:space="preserve">Helpful Codes for HIV and </w:t>
        </w:r>
        <w:proofErr w:type="spellStart"/>
        <w:r w:rsidR="00631AFA">
          <w:rPr>
            <w:rFonts w:ascii="Calibri" w:hAnsi="Calibri" w:cs="Calibri"/>
            <w:color w:val="1155CC"/>
            <w:u w:val="single"/>
          </w:rPr>
          <w:t>PrEP</w:t>
        </w:r>
        <w:proofErr w:type="spellEnd"/>
        <w:r w:rsidR="00631AFA">
          <w:rPr>
            <w:rFonts w:ascii="Calibri" w:hAnsi="Calibri" w:cs="Calibri"/>
            <w:color w:val="1155CC"/>
            <w:u w:val="single"/>
          </w:rPr>
          <w:t xml:space="preserve"> Measures</w:t>
        </w:r>
      </w:hyperlink>
    </w:p>
    <w:p w14:paraId="48E8123F" w14:textId="77777777" w:rsidR="00937BC1" w:rsidRDefault="00631AFA">
      <w:pPr>
        <w:pBdr>
          <w:top w:val="nil"/>
          <w:left w:val="nil"/>
          <w:bottom w:val="nil"/>
          <w:right w:val="nil"/>
          <w:between w:val="nil"/>
        </w:pBdr>
        <w:rPr>
          <w:rFonts w:ascii="Calibri" w:hAnsi="Calibri" w:cs="Calibri"/>
        </w:rPr>
      </w:pPr>
      <w:r>
        <w:rPr>
          <w:rFonts w:ascii="Calibri" w:hAnsi="Calibri" w:cs="Calibri"/>
        </w:rPr>
        <w:t>Financials</w:t>
      </w:r>
    </w:p>
    <w:p w14:paraId="0A10C3A5" w14:textId="77777777" w:rsidR="00937BC1" w:rsidRDefault="00C15D41">
      <w:pPr>
        <w:numPr>
          <w:ilvl w:val="0"/>
          <w:numId w:val="2"/>
        </w:numPr>
        <w:pBdr>
          <w:top w:val="nil"/>
          <w:left w:val="nil"/>
          <w:bottom w:val="nil"/>
          <w:right w:val="nil"/>
          <w:between w:val="nil"/>
        </w:pBdr>
        <w:spacing w:after="0"/>
        <w:ind w:left="720"/>
        <w:rPr>
          <w:rFonts w:ascii="Calibri" w:hAnsi="Calibri" w:cs="Calibri"/>
        </w:rPr>
      </w:pPr>
      <w:hyperlink r:id="rId22">
        <w:r w:rsidR="00631AFA">
          <w:rPr>
            <w:rFonts w:ascii="Calibri" w:hAnsi="Calibri" w:cs="Calibri"/>
            <w:color w:val="1155CC"/>
            <w:u w:val="single"/>
          </w:rPr>
          <w:t>Financial Tables Reporting Considerations</w:t>
        </w:r>
      </w:hyperlink>
    </w:p>
    <w:p w14:paraId="402E52BB" w14:textId="77777777" w:rsidR="00937BC1" w:rsidRDefault="00C15D41">
      <w:pPr>
        <w:numPr>
          <w:ilvl w:val="0"/>
          <w:numId w:val="2"/>
        </w:numPr>
        <w:pBdr>
          <w:top w:val="nil"/>
          <w:left w:val="nil"/>
          <w:bottom w:val="nil"/>
          <w:right w:val="nil"/>
          <w:between w:val="nil"/>
        </w:pBdr>
        <w:spacing w:after="0"/>
        <w:ind w:left="720"/>
        <w:rPr>
          <w:rFonts w:ascii="Calibri" w:hAnsi="Calibri" w:cs="Calibri"/>
        </w:rPr>
      </w:pPr>
      <w:hyperlink r:id="rId23">
        <w:r w:rsidR="00631AFA">
          <w:rPr>
            <w:rFonts w:ascii="Calibri" w:hAnsi="Calibri" w:cs="Calibri"/>
            <w:color w:val="1155CC"/>
            <w:u w:val="single"/>
          </w:rPr>
          <w:t>COVID-19 Funding UDS Reporting Guidance</w:t>
        </w:r>
      </w:hyperlink>
    </w:p>
    <w:p w14:paraId="4C2895D7" w14:textId="77777777" w:rsidR="00937BC1" w:rsidRDefault="00C15D41">
      <w:pPr>
        <w:numPr>
          <w:ilvl w:val="0"/>
          <w:numId w:val="2"/>
        </w:numPr>
        <w:pBdr>
          <w:top w:val="nil"/>
          <w:left w:val="nil"/>
          <w:bottom w:val="nil"/>
          <w:right w:val="nil"/>
          <w:between w:val="nil"/>
        </w:pBdr>
        <w:ind w:left="720"/>
        <w:rPr>
          <w:rFonts w:ascii="Calibri" w:hAnsi="Calibri" w:cs="Calibri"/>
        </w:rPr>
      </w:pPr>
      <w:hyperlink r:id="rId24">
        <w:r w:rsidR="00631AFA">
          <w:rPr>
            <w:rFonts w:ascii="Calibri" w:hAnsi="Calibri" w:cs="Calibri"/>
            <w:color w:val="1155CC"/>
            <w:u w:val="single"/>
          </w:rPr>
          <w:t>Reporting Donations</w:t>
        </w:r>
      </w:hyperlink>
    </w:p>
    <w:p w14:paraId="4C094500" w14:textId="77777777" w:rsidR="00937BC1" w:rsidRDefault="00631AFA">
      <w:pPr>
        <w:pBdr>
          <w:top w:val="nil"/>
          <w:left w:val="nil"/>
          <w:bottom w:val="nil"/>
          <w:right w:val="nil"/>
          <w:between w:val="nil"/>
        </w:pBdr>
        <w:rPr>
          <w:rFonts w:ascii="Calibri" w:hAnsi="Calibri" w:cs="Calibri"/>
        </w:rPr>
      </w:pPr>
      <w:r>
        <w:rPr>
          <w:rFonts w:ascii="Calibri" w:hAnsi="Calibri" w:cs="Calibri"/>
        </w:rPr>
        <w:t>Additional Reporting Topics</w:t>
      </w:r>
    </w:p>
    <w:p w14:paraId="1AA9006C" w14:textId="77777777" w:rsidR="00937BC1" w:rsidRDefault="00C15D41">
      <w:pPr>
        <w:numPr>
          <w:ilvl w:val="0"/>
          <w:numId w:val="2"/>
        </w:numPr>
        <w:pBdr>
          <w:top w:val="nil"/>
          <w:left w:val="nil"/>
          <w:bottom w:val="nil"/>
          <w:right w:val="nil"/>
          <w:between w:val="nil"/>
        </w:pBdr>
        <w:spacing w:after="0"/>
        <w:ind w:left="720"/>
        <w:rPr>
          <w:rFonts w:ascii="Calibri" w:hAnsi="Calibri" w:cs="Calibri"/>
        </w:rPr>
      </w:pPr>
      <w:hyperlink r:id="rId25">
        <w:r w:rsidR="00631AFA">
          <w:rPr>
            <w:rFonts w:ascii="Calibri" w:hAnsi="Calibri" w:cs="Calibri"/>
            <w:color w:val="1155CC"/>
            <w:u w:val="single"/>
          </w:rPr>
          <w:t>Crosswalk of Standardized Social Risk Factor Screeners</w:t>
        </w:r>
      </w:hyperlink>
    </w:p>
    <w:p w14:paraId="6081E688" w14:textId="77777777" w:rsidR="00937BC1" w:rsidRDefault="00C15D41">
      <w:pPr>
        <w:numPr>
          <w:ilvl w:val="0"/>
          <w:numId w:val="2"/>
        </w:numPr>
        <w:pBdr>
          <w:top w:val="nil"/>
          <w:left w:val="nil"/>
          <w:bottom w:val="nil"/>
          <w:right w:val="nil"/>
          <w:between w:val="nil"/>
        </w:pBdr>
        <w:ind w:left="720"/>
        <w:rPr>
          <w:rFonts w:ascii="Calibri" w:hAnsi="Calibri" w:cs="Calibri"/>
        </w:rPr>
      </w:pPr>
      <w:hyperlink r:id="rId26">
        <w:r w:rsidR="00631AFA">
          <w:rPr>
            <w:rFonts w:ascii="Calibri" w:hAnsi="Calibri" w:cs="Calibri"/>
            <w:color w:val="1155CC"/>
            <w:u w:val="single"/>
          </w:rPr>
          <w:t>Outreach and Enrollment Assists Reporting</w:t>
        </w:r>
      </w:hyperlink>
    </w:p>
    <w:p w14:paraId="7275CB31" w14:textId="77777777" w:rsidR="00937BC1" w:rsidRDefault="00631AFA">
      <w:pPr>
        <w:pBdr>
          <w:top w:val="nil"/>
          <w:left w:val="nil"/>
          <w:bottom w:val="nil"/>
          <w:right w:val="nil"/>
          <w:between w:val="nil"/>
        </w:pBdr>
        <w:spacing w:after="0" w:line="240" w:lineRule="auto"/>
        <w:rPr>
          <w:rFonts w:ascii="Calibri" w:hAnsi="Calibri" w:cs="Calibri"/>
          <w:color w:val="000000"/>
          <w:sz w:val="32"/>
          <w:szCs w:val="32"/>
        </w:rPr>
      </w:pPr>
      <w:r>
        <w:rPr>
          <w:rFonts w:ascii="Calibri" w:hAnsi="Calibri" w:cs="Calibri"/>
          <w:b/>
          <w:color w:val="006599"/>
          <w:sz w:val="28"/>
          <w:szCs w:val="28"/>
        </w:rPr>
        <w:t>System Resources</w:t>
      </w:r>
    </w:p>
    <w:p w14:paraId="2C010433" w14:textId="77777777" w:rsidR="00937BC1" w:rsidRDefault="00631AFA">
      <w:pPr>
        <w:numPr>
          <w:ilvl w:val="0"/>
          <w:numId w:val="6"/>
        </w:numPr>
        <w:pBdr>
          <w:top w:val="nil"/>
          <w:left w:val="nil"/>
          <w:bottom w:val="nil"/>
          <w:right w:val="nil"/>
          <w:between w:val="nil"/>
        </w:pBdr>
        <w:spacing w:before="200" w:after="0"/>
        <w:rPr>
          <w:rFonts w:ascii="Calibri" w:hAnsi="Calibri" w:cs="Calibri"/>
        </w:rPr>
      </w:pPr>
      <w:r>
        <w:rPr>
          <w:rFonts w:ascii="Calibri" w:hAnsi="Calibri" w:cs="Calibri"/>
        </w:rPr>
        <w:t>User Guide for Accessing the UDS in EHBs*</w:t>
      </w:r>
    </w:p>
    <w:p w14:paraId="3E0AD37F" w14:textId="77777777" w:rsidR="00937BC1" w:rsidRDefault="00631AFA">
      <w:pPr>
        <w:numPr>
          <w:ilvl w:val="0"/>
          <w:numId w:val="6"/>
        </w:numPr>
        <w:pBdr>
          <w:top w:val="nil"/>
          <w:left w:val="nil"/>
          <w:bottom w:val="nil"/>
          <w:right w:val="nil"/>
          <w:between w:val="nil"/>
        </w:pBdr>
        <w:spacing w:after="0"/>
        <w:rPr>
          <w:rFonts w:ascii="Calibri" w:hAnsi="Calibri" w:cs="Calibri"/>
        </w:rPr>
      </w:pPr>
      <w:r>
        <w:rPr>
          <w:rFonts w:ascii="Calibri" w:hAnsi="Calibri" w:cs="Calibri"/>
        </w:rPr>
        <w:t>Checklist for UDS Submission*</w:t>
      </w:r>
    </w:p>
    <w:p w14:paraId="4060871A" w14:textId="77777777" w:rsidR="00937BC1" w:rsidRDefault="00937BC1">
      <w:pPr>
        <w:pBdr>
          <w:top w:val="nil"/>
          <w:left w:val="nil"/>
          <w:bottom w:val="nil"/>
          <w:right w:val="nil"/>
          <w:between w:val="nil"/>
        </w:pBdr>
        <w:spacing w:after="0" w:line="240" w:lineRule="auto"/>
        <w:rPr>
          <w:rFonts w:ascii="Calibri" w:hAnsi="Calibri" w:cs="Calibri"/>
          <w:b/>
          <w:color w:val="006599"/>
          <w:sz w:val="28"/>
          <w:szCs w:val="28"/>
        </w:rPr>
      </w:pPr>
    </w:p>
    <w:p w14:paraId="522BD3B9" w14:textId="77777777" w:rsidR="00937BC1" w:rsidRDefault="00631AFA">
      <w:pPr>
        <w:pBdr>
          <w:top w:val="nil"/>
          <w:left w:val="nil"/>
          <w:bottom w:val="nil"/>
          <w:right w:val="nil"/>
          <w:between w:val="nil"/>
        </w:pBdr>
        <w:spacing w:after="0" w:line="240" w:lineRule="auto"/>
        <w:rPr>
          <w:rFonts w:ascii="Calibri" w:hAnsi="Calibri" w:cs="Calibri"/>
          <w:color w:val="000000"/>
          <w:sz w:val="32"/>
          <w:szCs w:val="32"/>
        </w:rPr>
      </w:pPr>
      <w:r>
        <w:rPr>
          <w:rFonts w:ascii="Calibri" w:hAnsi="Calibri" w:cs="Calibri"/>
          <w:b/>
          <w:color w:val="006599"/>
          <w:sz w:val="28"/>
          <w:szCs w:val="28"/>
        </w:rPr>
        <w:t>Data Resources</w:t>
      </w:r>
    </w:p>
    <w:p w14:paraId="766653E5" w14:textId="77777777" w:rsidR="00937BC1" w:rsidRDefault="00631AFA">
      <w:pPr>
        <w:numPr>
          <w:ilvl w:val="0"/>
          <w:numId w:val="6"/>
        </w:numPr>
        <w:spacing w:after="0"/>
        <w:rPr>
          <w:rFonts w:ascii="Calibri" w:hAnsi="Calibri" w:cs="Calibri"/>
        </w:rPr>
      </w:pPr>
      <w:r>
        <w:rPr>
          <w:rFonts w:ascii="Calibri" w:hAnsi="Calibri" w:cs="Calibri"/>
        </w:rPr>
        <w:t xml:space="preserve">2020 State Performance Indicators Statistics* </w:t>
      </w:r>
    </w:p>
    <w:p w14:paraId="4EAD636A" w14:textId="77777777" w:rsidR="00937BC1" w:rsidRPr="00D04CC8" w:rsidRDefault="00631AFA">
      <w:pPr>
        <w:numPr>
          <w:ilvl w:val="1"/>
          <w:numId w:val="6"/>
        </w:numPr>
        <w:spacing w:after="0"/>
        <w:rPr>
          <w:rFonts w:ascii="Calibri" w:hAnsi="Calibri" w:cs="Calibri"/>
          <w:i/>
        </w:rPr>
      </w:pPr>
      <w:r w:rsidRPr="00D04CC8">
        <w:rPr>
          <w:rFonts w:ascii="Calibri" w:hAnsi="Calibri" w:cs="Calibri"/>
          <w:i/>
        </w:rPr>
        <w:t xml:space="preserve">Comparison statistics of patient profile, quality of care, and service delivery indicators using 2020 UDS data, presented by state. </w:t>
      </w:r>
    </w:p>
    <w:p w14:paraId="6CCBB0A6" w14:textId="77777777" w:rsidR="00937BC1" w:rsidRDefault="00C15D41">
      <w:pPr>
        <w:numPr>
          <w:ilvl w:val="0"/>
          <w:numId w:val="6"/>
        </w:numPr>
        <w:spacing w:after="0"/>
        <w:rPr>
          <w:rFonts w:ascii="Calibri" w:hAnsi="Calibri" w:cs="Calibri"/>
        </w:rPr>
      </w:pPr>
      <w:hyperlink r:id="rId27">
        <w:r w:rsidR="00631AFA">
          <w:rPr>
            <w:rFonts w:ascii="Calibri" w:hAnsi="Calibri" w:cs="Calibri"/>
            <w:color w:val="0000FF"/>
            <w:u w:val="single"/>
          </w:rPr>
          <w:t>330 UDS 2020 Roll-Ups National Universal</w:t>
        </w:r>
      </w:hyperlink>
      <w:r w:rsidR="00631AFA">
        <w:rPr>
          <w:rFonts w:ascii="Calibri" w:hAnsi="Calibri" w:cs="Calibri"/>
        </w:rPr>
        <w:t>*</w:t>
      </w:r>
    </w:p>
    <w:p w14:paraId="5D44B3A8" w14:textId="77777777" w:rsidR="00937BC1" w:rsidRDefault="00C15D41">
      <w:pPr>
        <w:numPr>
          <w:ilvl w:val="0"/>
          <w:numId w:val="6"/>
        </w:numPr>
        <w:spacing w:after="0"/>
        <w:rPr>
          <w:rFonts w:ascii="Calibri" w:hAnsi="Calibri" w:cs="Calibri"/>
        </w:rPr>
      </w:pPr>
      <w:hyperlink r:id="rId28">
        <w:r w:rsidR="00631AFA">
          <w:rPr>
            <w:rFonts w:ascii="Calibri" w:hAnsi="Calibri" w:cs="Calibri"/>
            <w:color w:val="0000FF"/>
            <w:u w:val="single"/>
          </w:rPr>
          <w:t>Look-Alike (LAL) 2020 Roll-Ups National Universal</w:t>
        </w:r>
      </w:hyperlink>
      <w:r w:rsidR="00631AFA">
        <w:rPr>
          <w:rFonts w:ascii="Calibri" w:hAnsi="Calibri" w:cs="Calibri"/>
        </w:rPr>
        <w:t>*</w:t>
      </w:r>
    </w:p>
    <w:p w14:paraId="2FAD2ED7" w14:textId="77777777" w:rsidR="00937BC1" w:rsidRDefault="00631AFA">
      <w:pPr>
        <w:numPr>
          <w:ilvl w:val="0"/>
          <w:numId w:val="6"/>
        </w:numPr>
        <w:spacing w:after="0"/>
        <w:rPr>
          <w:rFonts w:ascii="Calibri" w:hAnsi="Calibri" w:cs="Calibri"/>
        </w:rPr>
      </w:pPr>
      <w:bookmarkStart w:id="0" w:name="_heading=h.gjdgxs" w:colFirst="0" w:colLast="0"/>
      <w:bookmarkEnd w:id="0"/>
      <w:r>
        <w:rPr>
          <w:rFonts w:ascii="Calibri" w:hAnsi="Calibri" w:cs="Calibri"/>
        </w:rPr>
        <w:t>BHW 2020 Roll-Ups National Universal*</w:t>
      </w:r>
    </w:p>
    <w:p w14:paraId="21EABCC8" w14:textId="77777777" w:rsidR="00937BC1" w:rsidRPr="00D04CC8" w:rsidRDefault="00631AFA">
      <w:pPr>
        <w:numPr>
          <w:ilvl w:val="1"/>
          <w:numId w:val="6"/>
        </w:numPr>
        <w:spacing w:after="0"/>
        <w:rPr>
          <w:rFonts w:ascii="Calibri" w:hAnsi="Calibri" w:cs="Calibri"/>
          <w:i/>
        </w:rPr>
      </w:pPr>
      <w:bookmarkStart w:id="1" w:name="_heading=h.21sjh3adebij" w:colFirst="0" w:colLast="0"/>
      <w:bookmarkEnd w:id="1"/>
      <w:r w:rsidRPr="00D04CC8">
        <w:rPr>
          <w:rFonts w:ascii="Calibri" w:hAnsi="Calibri" w:cs="Calibri"/>
          <w:i/>
        </w:rPr>
        <w:t xml:space="preserve">The roll-up files each have the aggregated 2020 UDS data for the specified program. </w:t>
      </w:r>
    </w:p>
    <w:p w14:paraId="455913DB" w14:textId="77777777" w:rsidR="00937BC1" w:rsidRDefault="00937BC1">
      <w:pPr>
        <w:ind w:left="720"/>
        <w:rPr>
          <w:rFonts w:ascii="Calibri" w:hAnsi="Calibri" w:cs="Calibri"/>
        </w:rPr>
      </w:pPr>
    </w:p>
    <w:p w14:paraId="055B922D" w14:textId="77777777" w:rsidR="00937BC1" w:rsidRDefault="00937BC1">
      <w:pPr>
        <w:ind w:left="720"/>
        <w:rPr>
          <w:rFonts w:ascii="Calibri" w:hAnsi="Calibri" w:cs="Calibri"/>
        </w:rPr>
      </w:pPr>
    </w:p>
    <w:p w14:paraId="2503851E" w14:textId="77777777" w:rsidR="00937BC1" w:rsidRDefault="00937BC1">
      <w:pPr>
        <w:ind w:left="720"/>
        <w:rPr>
          <w:rFonts w:ascii="Calibri" w:hAnsi="Calibri" w:cs="Calibri"/>
        </w:rPr>
      </w:pPr>
    </w:p>
    <w:p w14:paraId="13168F4A" w14:textId="77777777" w:rsidR="00937BC1" w:rsidRDefault="00937BC1">
      <w:pPr>
        <w:ind w:left="720"/>
        <w:rPr>
          <w:rFonts w:ascii="Calibri" w:hAnsi="Calibri" w:cs="Calibri"/>
        </w:rPr>
      </w:pPr>
    </w:p>
    <w:sectPr w:rsidR="00937BC1">
      <w:headerReference w:type="default" r:id="rId29"/>
      <w:footerReference w:type="default" r:id="rId30"/>
      <w:pgSz w:w="12240" w:h="15840"/>
      <w:pgMar w:top="1440" w:right="900" w:bottom="720" w:left="1440"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65D5" w14:textId="77777777" w:rsidR="00631AFA" w:rsidRDefault="00631AFA">
      <w:pPr>
        <w:spacing w:after="0" w:line="240" w:lineRule="auto"/>
      </w:pPr>
      <w:r>
        <w:separator/>
      </w:r>
    </w:p>
  </w:endnote>
  <w:endnote w:type="continuationSeparator" w:id="0">
    <w:p w14:paraId="1FF590D2" w14:textId="77777777" w:rsidR="00631AFA" w:rsidRDefault="0063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58622945"/>
      <w:docPartObj>
        <w:docPartGallery w:val="Page Numbers (Bottom of Page)"/>
        <w:docPartUnique/>
      </w:docPartObj>
    </w:sdtPr>
    <w:sdtEndPr>
      <w:rPr>
        <w:noProof/>
      </w:rPr>
    </w:sdtEndPr>
    <w:sdtContent>
      <w:p w14:paraId="4737AF23" w14:textId="77777777" w:rsidR="00D04CC8" w:rsidRPr="00D04CC8" w:rsidRDefault="00D04CC8">
        <w:pPr>
          <w:pStyle w:val="Footer"/>
          <w:jc w:val="right"/>
          <w:rPr>
            <w:sz w:val="20"/>
          </w:rPr>
        </w:pPr>
        <w:r w:rsidRPr="00D04CC8">
          <w:rPr>
            <w:sz w:val="20"/>
          </w:rPr>
          <w:fldChar w:fldCharType="begin"/>
        </w:r>
        <w:r w:rsidRPr="00D04CC8">
          <w:rPr>
            <w:sz w:val="20"/>
          </w:rPr>
          <w:instrText xml:space="preserve"> PAGE   \* MERGEFORMAT </w:instrText>
        </w:r>
        <w:r w:rsidRPr="00D04CC8">
          <w:rPr>
            <w:sz w:val="20"/>
          </w:rPr>
          <w:fldChar w:fldCharType="separate"/>
        </w:r>
        <w:r>
          <w:rPr>
            <w:noProof/>
            <w:sz w:val="20"/>
          </w:rPr>
          <w:t>2</w:t>
        </w:r>
        <w:r w:rsidRPr="00D04CC8">
          <w:rPr>
            <w:noProof/>
            <w:sz w:val="20"/>
          </w:rPr>
          <w:fldChar w:fldCharType="end"/>
        </w:r>
      </w:p>
    </w:sdtContent>
  </w:sdt>
  <w:p w14:paraId="3E46BD76" w14:textId="77777777" w:rsidR="00D04CC8" w:rsidRDefault="00D0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3959" w14:textId="77777777" w:rsidR="00631AFA" w:rsidRDefault="00631AFA">
      <w:pPr>
        <w:spacing w:after="0" w:line="240" w:lineRule="auto"/>
      </w:pPr>
      <w:r>
        <w:separator/>
      </w:r>
    </w:p>
  </w:footnote>
  <w:footnote w:type="continuationSeparator" w:id="0">
    <w:p w14:paraId="20A7F13D" w14:textId="77777777" w:rsidR="00631AFA" w:rsidRDefault="00631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B4E0" w14:textId="77777777" w:rsidR="00937BC1" w:rsidRDefault="00937BC1">
    <w:pPr>
      <w:pBdr>
        <w:top w:val="nil"/>
        <w:left w:val="nil"/>
        <w:bottom w:val="nil"/>
        <w:right w:val="nil"/>
        <w:between w:val="nil"/>
      </w:pBdr>
      <w:tabs>
        <w:tab w:val="center" w:pos="4680"/>
        <w:tab w:val="right" w:pos="9360"/>
      </w:tabs>
      <w:spacing w:after="0" w:line="240" w:lineRule="auto"/>
      <w:ind w:hanging="360"/>
      <w:rPr>
        <w:rFonts w:eastAsia="Tahoma"/>
        <w:color w:val="000000"/>
      </w:rPr>
    </w:pPr>
  </w:p>
  <w:p w14:paraId="714CBCB4" w14:textId="77777777" w:rsidR="00937BC1" w:rsidRPr="00D04CC8" w:rsidRDefault="00631AFA">
    <w:pPr>
      <w:pBdr>
        <w:top w:val="nil"/>
        <w:left w:val="nil"/>
        <w:bottom w:val="nil"/>
        <w:right w:val="nil"/>
        <w:between w:val="nil"/>
      </w:pBdr>
      <w:tabs>
        <w:tab w:val="center" w:pos="4680"/>
        <w:tab w:val="right" w:pos="9360"/>
      </w:tabs>
      <w:spacing w:after="0" w:line="240" w:lineRule="auto"/>
      <w:ind w:hanging="360"/>
      <w:rPr>
        <w:rFonts w:asciiTheme="minorHAnsi" w:eastAsia="Tahoma" w:hAnsiTheme="minorHAnsi" w:cstheme="minorHAnsi"/>
        <w:color w:val="000000"/>
        <w:sz w:val="20"/>
      </w:rPr>
    </w:pPr>
    <w:r w:rsidRPr="00D04CC8">
      <w:rPr>
        <w:rFonts w:asciiTheme="minorHAnsi" w:eastAsia="Tahoma" w:hAnsiTheme="minorHAnsi" w:cstheme="minorHAnsi"/>
        <w:noProof/>
        <w:color w:val="000000"/>
        <w:sz w:val="20"/>
      </w:rPr>
      <w:drawing>
        <wp:inline distT="0" distB="0" distL="0" distR="0" wp14:anchorId="4ADD3A3E" wp14:editId="24103C5C">
          <wp:extent cx="6286500" cy="36957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86500" cy="3695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6F3"/>
    <w:multiLevelType w:val="multilevel"/>
    <w:tmpl w:val="88E4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66A76"/>
    <w:multiLevelType w:val="multilevel"/>
    <w:tmpl w:val="1BA00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5E54BA"/>
    <w:multiLevelType w:val="multilevel"/>
    <w:tmpl w:val="6A26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D02716"/>
    <w:multiLevelType w:val="multilevel"/>
    <w:tmpl w:val="51AEF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7A5131E"/>
    <w:multiLevelType w:val="multilevel"/>
    <w:tmpl w:val="3D18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92BEE"/>
    <w:multiLevelType w:val="multilevel"/>
    <w:tmpl w:val="F6DCD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C1"/>
    <w:rsid w:val="00631AFA"/>
    <w:rsid w:val="00937BC1"/>
    <w:rsid w:val="00C15D41"/>
    <w:rsid w:val="00D0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F47C"/>
  <w15:docId w15:val="{99B15F20-2F83-4576-B70A-6F8265C0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20"/>
    <w:rPr>
      <w:rFonts w:eastAsia="Calibri"/>
    </w:rPr>
  </w:style>
  <w:style w:type="paragraph" w:styleId="Heading1">
    <w:name w:val="heading 1"/>
    <w:basedOn w:val="Normal"/>
    <w:next w:val="Normal"/>
    <w:link w:val="Heading1Char"/>
    <w:uiPriority w:val="9"/>
    <w:qFormat/>
    <w:rsid w:val="00F84C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C17"/>
    <w:pPr>
      <w:spacing w:before="240" w:after="300" w:line="240" w:lineRule="auto"/>
      <w:contextualSpacing/>
    </w:pPr>
    <w:rPr>
      <w:rFonts w:eastAsiaTheme="majorEastAsia"/>
      <w:color w:val="1F497D" w:themeColor="text2"/>
      <w:spacing w:val="5"/>
      <w:kern w:val="28"/>
      <w:sz w:val="40"/>
      <w:szCs w:val="52"/>
    </w:rPr>
  </w:style>
  <w:style w:type="table" w:styleId="TableGrid">
    <w:name w:val="Table Grid"/>
    <w:basedOn w:val="TableNormal"/>
    <w:uiPriority w:val="39"/>
    <w:rsid w:val="005A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85C17"/>
    <w:rPr>
      <w:rFonts w:ascii="Tahoma" w:eastAsiaTheme="majorEastAsia" w:hAnsi="Tahoma" w:cs="Tahoma"/>
      <w:color w:val="1F497D" w:themeColor="text2"/>
      <w:spacing w:val="5"/>
      <w:kern w:val="28"/>
      <w:sz w:val="40"/>
      <w:szCs w:val="52"/>
    </w:rPr>
  </w:style>
  <w:style w:type="paragraph" w:styleId="BalloonText">
    <w:name w:val="Balloon Text"/>
    <w:basedOn w:val="Normal"/>
    <w:link w:val="BalloonTextChar"/>
    <w:uiPriority w:val="99"/>
    <w:semiHidden/>
    <w:unhideWhenUsed/>
    <w:rsid w:val="008D3D6A"/>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D3D6A"/>
    <w:rPr>
      <w:rFonts w:ascii="Tahoma" w:eastAsia="Calibri" w:hAnsi="Tahoma" w:cs="Tahoma"/>
      <w:sz w:val="16"/>
      <w:szCs w:val="16"/>
    </w:rPr>
  </w:style>
  <w:style w:type="paragraph" w:styleId="Header">
    <w:name w:val="header"/>
    <w:basedOn w:val="Normal"/>
    <w:link w:val="HeaderChar"/>
    <w:uiPriority w:val="99"/>
    <w:unhideWhenUsed/>
    <w:rsid w:val="00D8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17"/>
    <w:rPr>
      <w:rFonts w:ascii="Calibri" w:eastAsia="Calibri" w:hAnsi="Calibri" w:cs="Times New Roman"/>
    </w:rPr>
  </w:style>
  <w:style w:type="paragraph" w:styleId="Footer">
    <w:name w:val="footer"/>
    <w:basedOn w:val="Normal"/>
    <w:link w:val="FooterChar"/>
    <w:uiPriority w:val="99"/>
    <w:unhideWhenUsed/>
    <w:rsid w:val="00D8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17"/>
    <w:rPr>
      <w:rFonts w:ascii="Calibri" w:eastAsia="Calibri" w:hAnsi="Calibri" w:cs="Times New Roman"/>
    </w:rPr>
  </w:style>
  <w:style w:type="paragraph" w:styleId="ListParagraph">
    <w:name w:val="List Paragraph"/>
    <w:basedOn w:val="Normal"/>
    <w:uiPriority w:val="34"/>
    <w:qFormat/>
    <w:rsid w:val="00D85C17"/>
    <w:pPr>
      <w:ind w:left="720"/>
      <w:contextualSpacing/>
    </w:pPr>
  </w:style>
  <w:style w:type="table" w:styleId="LightShading-Accent1">
    <w:name w:val="Light Shading Accent 1"/>
    <w:basedOn w:val="TableNormal"/>
    <w:uiPriority w:val="60"/>
    <w:rsid w:val="0050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27289A"/>
    <w:rPr>
      <w:sz w:val="16"/>
      <w:szCs w:val="16"/>
    </w:rPr>
  </w:style>
  <w:style w:type="paragraph" w:styleId="CommentText">
    <w:name w:val="annotation text"/>
    <w:basedOn w:val="Normal"/>
    <w:link w:val="CommentTextChar"/>
    <w:uiPriority w:val="99"/>
    <w:semiHidden/>
    <w:unhideWhenUsed/>
    <w:rsid w:val="0027289A"/>
    <w:pPr>
      <w:spacing w:line="240" w:lineRule="auto"/>
    </w:pPr>
    <w:rPr>
      <w:sz w:val="20"/>
      <w:szCs w:val="20"/>
    </w:rPr>
  </w:style>
  <w:style w:type="character" w:customStyle="1" w:styleId="CommentTextChar">
    <w:name w:val="Comment Text Char"/>
    <w:basedOn w:val="DefaultParagraphFont"/>
    <w:link w:val="CommentText"/>
    <w:uiPriority w:val="99"/>
    <w:semiHidden/>
    <w:rsid w:val="0027289A"/>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27289A"/>
    <w:rPr>
      <w:b/>
      <w:bCs/>
    </w:rPr>
  </w:style>
  <w:style w:type="character" w:customStyle="1" w:styleId="CommentSubjectChar">
    <w:name w:val="Comment Subject Char"/>
    <w:basedOn w:val="CommentTextChar"/>
    <w:link w:val="CommentSubject"/>
    <w:uiPriority w:val="99"/>
    <w:semiHidden/>
    <w:rsid w:val="0027289A"/>
    <w:rPr>
      <w:rFonts w:ascii="Tahoma" w:eastAsia="Calibri" w:hAnsi="Tahoma" w:cs="Tahoma"/>
      <w:b/>
      <w:bCs/>
      <w:sz w:val="20"/>
      <w:szCs w:val="20"/>
    </w:rPr>
  </w:style>
  <w:style w:type="paragraph" w:styleId="Revision">
    <w:name w:val="Revision"/>
    <w:hidden/>
    <w:uiPriority w:val="99"/>
    <w:semiHidden/>
    <w:rsid w:val="0027289A"/>
    <w:pPr>
      <w:spacing w:after="0" w:line="240" w:lineRule="auto"/>
    </w:pPr>
    <w:rPr>
      <w:rFonts w:eastAsia="Calibri"/>
    </w:rPr>
  </w:style>
  <w:style w:type="paragraph" w:styleId="NormalWeb">
    <w:name w:val="Normal (Web)"/>
    <w:basedOn w:val="Normal"/>
    <w:uiPriority w:val="99"/>
    <w:unhideWhenUsed/>
    <w:rsid w:val="00707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68541112104952885gdp">
    <w:name w:val="m_8468541112104952885gd_p"/>
    <w:basedOn w:val="Normal"/>
    <w:rsid w:val="00F24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3AF"/>
    <w:rPr>
      <w:color w:val="0000FF"/>
      <w:u w:val="single"/>
    </w:rPr>
  </w:style>
  <w:style w:type="character" w:customStyle="1" w:styleId="Heading1Char">
    <w:name w:val="Heading 1 Char"/>
    <w:basedOn w:val="DefaultParagraphFont"/>
    <w:link w:val="Heading1"/>
    <w:uiPriority w:val="9"/>
    <w:rsid w:val="00F84CF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4CF7"/>
    <w:pPr>
      <w:spacing w:line="259" w:lineRule="auto"/>
      <w:outlineLvl w:val="9"/>
    </w:pPr>
  </w:style>
  <w:style w:type="paragraph" w:customStyle="1" w:styleId="Default">
    <w:name w:val="Default"/>
    <w:rsid w:val="00F84CF7"/>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phc.hrsa.gov/datareporting/reporting/index.html" TargetMode="External"/><Relationship Id="rId13" Type="http://schemas.openxmlformats.org/officeDocument/2006/relationships/hyperlink" Target="https://bphc.hrsa.gov/sites/default/files/bphc/datareporting/reporting/2021-uds-countable-visits.pdf" TargetMode="External"/><Relationship Id="rId18" Type="http://schemas.openxmlformats.org/officeDocument/2006/relationships/hyperlink" Target="https://bphc.hrsa.gov/sites/default/files/bphc/datareporting/reporting/2021-clinical-measures-handout.pdf" TargetMode="External"/><Relationship Id="rId26" Type="http://schemas.openxmlformats.org/officeDocument/2006/relationships/hyperlink" Target="https://bphc.hrsa.gov/datareporting/reporting/outreach-enrollment" TargetMode="External"/><Relationship Id="rId3" Type="http://schemas.openxmlformats.org/officeDocument/2006/relationships/styles" Target="styles.xml"/><Relationship Id="rId21" Type="http://schemas.openxmlformats.org/officeDocument/2006/relationships/hyperlink" Target="https://bphc.hrsa.gov/sites/default/files/bphc/datareporting/reporting/hiv-and-prep-codes.pdf" TargetMode="External"/><Relationship Id="rId7" Type="http://schemas.openxmlformats.org/officeDocument/2006/relationships/endnotes" Target="endnotes.xml"/><Relationship Id="rId12" Type="http://schemas.openxmlformats.org/officeDocument/2006/relationships/hyperlink" Target="https://bphc.hrsa.gov/sites/default/files/bphc/datareporting/reporting/health-center-changes-uds-reporting-faq.pdf" TargetMode="External"/><Relationship Id="rId17" Type="http://schemas.openxmlformats.org/officeDocument/2006/relationships/hyperlink" Target="https://bphc.hrsa.gov/sites/default/files/bphc/datareporting/reporting/2021-uds-table-6A-code-changes.pdf" TargetMode="External"/><Relationship Id="rId25" Type="http://schemas.openxmlformats.org/officeDocument/2006/relationships/hyperlink" Target="https://bphc.hrsa.gov/sites/default/files/bphc/datareporting/reporting/uds-crosswalk-standardized-screeners.pdf" TargetMode="External"/><Relationship Id="rId2" Type="http://schemas.openxmlformats.org/officeDocument/2006/relationships/numbering" Target="numbering.xml"/><Relationship Id="rId16" Type="http://schemas.openxmlformats.org/officeDocument/2006/relationships/hyperlink" Target="https://bphc.hrsa.gov/sites/default/files/bphc/datareporting/reporting/2021-uds-selected-service-detail-guidance.pdf" TargetMode="External"/><Relationship Id="rId20" Type="http://schemas.openxmlformats.org/officeDocument/2006/relationships/hyperlink" Target="https://bphc.hrsa.gov/sites/default/files/bphc/datareporting/reporting/2021-uds-clinical-measures-exclusions-exception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hc.hrsa.gov/sites/default/files/bphc/datareporting/pdf/2021-uds-manual-tables.pdf" TargetMode="External"/><Relationship Id="rId24" Type="http://schemas.openxmlformats.org/officeDocument/2006/relationships/hyperlink" Target="https://bphc.hrsa.gov/sites/default/files/bphc/datareporting/reporting/2021-donations-reporting-ud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phc.hrsa.gov/sites/default/files/bphc/datareporting/reporting/2021-uds-virtual-visit-reporting-guide.pdf" TargetMode="External"/><Relationship Id="rId23" Type="http://schemas.openxmlformats.org/officeDocument/2006/relationships/hyperlink" Target="https://bphc.hrsa.gov/sites/default/files/bphc/datareporting/reporting/uds-covid-19-funding-guidance.pdf" TargetMode="External"/><Relationship Id="rId28" Type="http://schemas.openxmlformats.org/officeDocument/2006/relationships/hyperlink" Target="https://data.hrsa.gov/tools/data-reporting/program-data/national-lookalikes" TargetMode="External"/><Relationship Id="rId10" Type="http://schemas.openxmlformats.org/officeDocument/2006/relationships/hyperlink" Target="https://bphc.hrsa.gov/sites/default/files/bphc/datareporting/pdf/2021-uds-manual.pdf" TargetMode="External"/><Relationship Id="rId19" Type="http://schemas.openxmlformats.org/officeDocument/2006/relationships/hyperlink" Target="https://bphc.hrsa.gov/sites/default/files/bphc/datareporting/reporting/2021-telehealth-impact-ud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dcap.link/UDSEvaluation2021" TargetMode="External"/><Relationship Id="rId14" Type="http://schemas.openxmlformats.org/officeDocument/2006/relationships/hyperlink" Target="https://bphc.hrsa.gov/sites/default/files/bphc/datareporting/reporting/uds-nurse-visits.pdf" TargetMode="External"/><Relationship Id="rId22" Type="http://schemas.openxmlformats.org/officeDocument/2006/relationships/hyperlink" Target="https://bphc.hrsa.gov/sites/default/files/bphc/datareporting/reporting/2021-uds-financial-tables-guidance.pdf" TargetMode="External"/><Relationship Id="rId27" Type="http://schemas.openxmlformats.org/officeDocument/2006/relationships/hyperlink" Target="https://data.hrsa.gov/tools/data-reporting/program-data/nationa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PNieoYHpbuEdgUu4svyp4qP4Q==">AMUW2mVT9LN1wsmUMRw5wM67AXizj4ZTAzxlPPRl+0I+IXpt/6XP0XkfEmPUXFxZd8EbG4C2dIsVPRKM1fFXSBFM2gWyNSiABsvywxtUZ+5w5ipKKBCsB7upY2YJ3Hjy21bOEnuVw9PLmxrFWPPpP6I+va5n/nZe3w==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4680</Characters>
  <Application>Microsoft Office Word</Application>
  <DocSecurity>0</DocSecurity>
  <Lines>39</Lines>
  <Paragraphs>10</Paragraphs>
  <ScaleCrop>false</ScaleCrop>
  <Company>JSI</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Vatalaro</dc:creator>
  <cp:lastModifiedBy>Rosa I Navarro (NCCHCA)</cp:lastModifiedBy>
  <cp:revision>3</cp:revision>
  <dcterms:created xsi:type="dcterms:W3CDTF">2021-09-24T22:23:00Z</dcterms:created>
  <dcterms:modified xsi:type="dcterms:W3CDTF">2021-10-18T15:46:00Z</dcterms:modified>
</cp:coreProperties>
</file>